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B" w:rsidRPr="00C2652B" w:rsidRDefault="00C2652B" w:rsidP="00C2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652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2652B" w:rsidRPr="00C2652B" w:rsidRDefault="00C2652B" w:rsidP="00C26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652B">
        <w:rPr>
          <w:rFonts w:ascii="Times New Roman" w:hAnsi="Times New Roman" w:cs="Times New Roman"/>
          <w:sz w:val="28"/>
          <w:szCs w:val="28"/>
        </w:rPr>
        <w:t>Наказ Міністерства з питань житлово-</w:t>
      </w:r>
    </w:p>
    <w:p w:rsidR="00C2652B" w:rsidRDefault="00C2652B" w:rsidP="00C265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України</w:t>
      </w:r>
      <w:r w:rsidRPr="00C265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52B" w:rsidRPr="00C2652B" w:rsidRDefault="00C2652B" w:rsidP="00C2652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5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12 травня 2009 року № 127</w:t>
      </w:r>
    </w:p>
    <w:p w:rsidR="00C2652B" w:rsidRDefault="00C2652B" w:rsidP="00C26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(у редакції Наказу Міністерства</w:t>
      </w:r>
    </w:p>
    <w:p w:rsidR="00C2652B" w:rsidRDefault="00C2652B" w:rsidP="00C26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регіонального розвитку, будівництва та </w:t>
      </w:r>
      <w:r w:rsidRPr="00C2652B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                                                    житлово-комунального господарства)</w:t>
      </w:r>
    </w:p>
    <w:p w:rsidR="00C2652B" w:rsidRDefault="00C2652B" w:rsidP="00C265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________20__ № ______)</w:t>
      </w:r>
    </w:p>
    <w:p w:rsidR="00C2652B" w:rsidRPr="00C2652B" w:rsidRDefault="00C2652B" w:rsidP="00C265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52B" w:rsidRDefault="00C2652B" w:rsidP="00C265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1539" w:rsidRDefault="00C2652B" w:rsidP="00E01539">
      <w:pPr>
        <w:tabs>
          <w:tab w:val="left" w:pos="339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52B">
        <w:rPr>
          <w:rFonts w:ascii="Times New Roman" w:hAnsi="Times New Roman" w:cs="Times New Roman"/>
          <w:b/>
          <w:sz w:val="28"/>
          <w:szCs w:val="28"/>
          <w:lang w:val="uk-UA"/>
        </w:rPr>
        <w:t>МЕТОДИКА</w:t>
      </w:r>
    </w:p>
    <w:p w:rsidR="00E01539" w:rsidRDefault="00E01539" w:rsidP="00E01539">
      <w:pPr>
        <w:tabs>
          <w:tab w:val="left" w:pos="2505"/>
        </w:tabs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відновної вартості зелених насаджень</w:t>
      </w:r>
    </w:p>
    <w:p w:rsidR="00E01539" w:rsidRDefault="00E01539" w:rsidP="00E015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37AC" w:rsidRDefault="002669F7" w:rsidP="002669F7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F1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69F7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1E37AC" w:rsidRDefault="001E37AC" w:rsidP="002669F7">
      <w:pPr>
        <w:tabs>
          <w:tab w:val="left" w:pos="41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4AE9" w:rsidRDefault="001E37AC" w:rsidP="00AA6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7A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встановлює механізм визначення відновної вартості зелених насаджень (дерев, кущів, газонів, квітників) у населених пунктах, що підлягає сплаті у разі виділення зелених насаджень або у разі відведення </w:t>
      </w:r>
      <w:r w:rsidR="00AA6518">
        <w:rPr>
          <w:rFonts w:ascii="Times New Roman" w:hAnsi="Times New Roman" w:cs="Times New Roman"/>
          <w:sz w:val="28"/>
          <w:szCs w:val="28"/>
          <w:lang w:val="uk-UA"/>
        </w:rPr>
        <w:t>земельної ділянки, на якій розташовані зелені насадження, в установленому порядку фізичній або юридичній особі (крім відновної вартості зелених насаджень, посаджених (створених) цією особою).</w:t>
      </w:r>
    </w:p>
    <w:p w:rsidR="00AA6518" w:rsidRDefault="00AA6518" w:rsidP="00AA6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цій Методиці терміни вживаються у значеннях, наведених у Законі України «Про благоустрій населених пунктів», Порядку видалення дерев, кущів, газонів і квітників у населених пунктах, затвердженому постановою Кабінету Міністрів України від 01 серпня 2006 року № 1045 (далі – Порядок), Правилах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від 10 квітня 2006 року № 105, зареєстрованих у Міністерстві юстиції України 27 липня 2006 року за № 880/12754 (далі – Правила).</w:t>
      </w:r>
    </w:p>
    <w:p w:rsidR="00A662C6" w:rsidRDefault="00A662C6" w:rsidP="00A6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AA6518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відновної вартості зелених насаджень </w:t>
      </w:r>
      <w:r w:rsidR="005B09BC">
        <w:rPr>
          <w:rFonts w:ascii="Times New Roman" w:hAnsi="Times New Roman" w:cs="Times New Roman"/>
          <w:sz w:val="28"/>
          <w:szCs w:val="28"/>
          <w:lang w:val="uk-UA"/>
        </w:rPr>
        <w:t>здійснюється ком</w:t>
      </w:r>
      <w:r>
        <w:rPr>
          <w:rFonts w:ascii="Times New Roman" w:hAnsi="Times New Roman" w:cs="Times New Roman"/>
          <w:sz w:val="28"/>
          <w:szCs w:val="28"/>
          <w:lang w:val="uk-UA"/>
        </w:rPr>
        <w:t>ісією, створеною відповідно до П</w:t>
      </w:r>
      <w:r w:rsidR="005B09BC">
        <w:rPr>
          <w:rFonts w:ascii="Times New Roman" w:hAnsi="Times New Roman" w:cs="Times New Roman"/>
          <w:sz w:val="28"/>
          <w:szCs w:val="28"/>
          <w:lang w:val="uk-UA"/>
        </w:rPr>
        <w:t>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яка складає акт обстеження зелених насаджень, що підлягають видаленню, зразок якого наведений у додатку 1 до цієї Методики.</w:t>
      </w:r>
    </w:p>
    <w:p w:rsidR="00AA6518" w:rsidRDefault="00A662C6" w:rsidP="00A6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Видалення зелених насаджень зд</w:t>
      </w:r>
      <w:r w:rsidR="00516FBB">
        <w:rPr>
          <w:rFonts w:ascii="Times New Roman" w:hAnsi="Times New Roman" w:cs="Times New Roman"/>
          <w:sz w:val="28"/>
          <w:szCs w:val="28"/>
          <w:lang w:val="uk-UA"/>
        </w:rPr>
        <w:t>ійснюється відповідно до Порядку видалення дерев, кущів, газонів і квітників у населених пунктах.</w:t>
      </w:r>
    </w:p>
    <w:p w:rsidR="00944A29" w:rsidRDefault="00944A29" w:rsidP="00A6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Доцільність і можливість пересадки  дерев та кущів, які підлягають видаленню, визначається комісією під час їх обстеження та оцінки.</w:t>
      </w:r>
    </w:p>
    <w:p w:rsidR="00516FBB" w:rsidRDefault="00944A29" w:rsidP="00A6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У разі видалення зелених насаджень у зв’язку з будівництвом об’єктів відповідно  до Закону України «Про регулювання містобудівної діяльності» розмір їх відновної вартості зменшується на суму, передбачену в проектній документації на озеленення території.</w:t>
      </w:r>
    </w:p>
    <w:p w:rsidR="00944A29" w:rsidRDefault="00944A29" w:rsidP="00A6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A29" w:rsidRDefault="00944A29" w:rsidP="00A66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A29" w:rsidRDefault="00944A29" w:rsidP="00944A2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A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4A29">
        <w:rPr>
          <w:rFonts w:ascii="Times New Roman" w:hAnsi="Times New Roman" w:cs="Times New Roman"/>
          <w:b/>
          <w:sz w:val="28"/>
          <w:szCs w:val="28"/>
          <w:lang w:val="uk-UA"/>
        </w:rPr>
        <w:t>Визначення відновної вартості дерев та кущів</w:t>
      </w:r>
    </w:p>
    <w:p w:rsidR="00944A29" w:rsidRDefault="00944A29" w:rsidP="00944A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Відновна вартість одного дерева або одного куща визначається, виходячи із вартості їх створення (посадки) та утримання з у рахуванням характеристик, які визначають їх цінність, за формулою: </w:t>
      </w:r>
    </w:p>
    <w:p w:rsidR="00944A29" w:rsidRDefault="003F7F30" w:rsidP="00944A29">
      <w:pPr>
        <w:tabs>
          <w:tab w:val="left" w:pos="3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944A29">
        <w:rPr>
          <w:rFonts w:ascii="Times New Roman" w:hAnsi="Times New Roman" w:cs="Times New Roman"/>
          <w:sz w:val="28"/>
          <w:szCs w:val="28"/>
          <w:lang w:val="uk-UA"/>
        </w:rPr>
        <w:t>Вв = Вств + Ву,</w:t>
      </w:r>
    </w:p>
    <w:p w:rsidR="00944A29" w:rsidRDefault="0089706F" w:rsidP="0089706F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де: Вв – відновна вартість одного дерева або одного куща;</w:t>
      </w:r>
    </w:p>
    <w:p w:rsidR="0089706F" w:rsidRDefault="0089706F" w:rsidP="0089706F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Вств – вартість створення (посадки) одного дерева або одного куща (комплексу робіт зі створення і догляду за ними у період приживлення);</w:t>
      </w:r>
    </w:p>
    <w:p w:rsidR="0089706F" w:rsidRDefault="0089706F" w:rsidP="0089706F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 – вартість утримання одного дерева або одного куща від моменту приживлення до видалення.</w:t>
      </w:r>
    </w:p>
    <w:p w:rsidR="0089706F" w:rsidRDefault="0089706F" w:rsidP="0089706F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06F" w:rsidRDefault="0089706F" w:rsidP="0089706F">
      <w:pPr>
        <w:tabs>
          <w:tab w:val="left" w:pos="3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Визначення вартості створення одного дерева або одного куща здійснюється за формулою:</w:t>
      </w:r>
    </w:p>
    <w:p w:rsidR="0089706F" w:rsidRDefault="003F7F30" w:rsidP="003F7F30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Вств = Вдк + Вдкств;</w:t>
      </w:r>
    </w:p>
    <w:p w:rsidR="00944A29" w:rsidRDefault="003F7F30" w:rsidP="00D5313E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Вдк – документально </w:t>
      </w:r>
      <w:r w:rsidR="00D5313E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підтверджена вартість одного саджанця дерева чи куща у разі видалення або у разі відведення земельної ділянки, на якій </w:t>
      </w:r>
      <w:r w:rsidR="00B37660">
        <w:rPr>
          <w:rFonts w:ascii="Times New Roman" w:hAnsi="Times New Roman" w:cs="Times New Roman"/>
          <w:sz w:val="28"/>
          <w:szCs w:val="28"/>
          <w:lang w:val="uk-UA"/>
        </w:rPr>
        <w:t xml:space="preserve">              розташовані зелені насадження, в установленому порядку фізичній або юридичній особі (крім відновної вартості зелених насаджень, посаджених (створених) цією особою). При цьому вартість одного саджанця дерева чи куща має бути </w:t>
      </w:r>
      <w:r w:rsidR="00DF2F44">
        <w:rPr>
          <w:rFonts w:ascii="Times New Roman" w:hAnsi="Times New Roman" w:cs="Times New Roman"/>
          <w:sz w:val="28"/>
          <w:szCs w:val="28"/>
          <w:lang w:val="uk-UA"/>
        </w:rPr>
        <w:t>визначеною на момент здійснення розрахунку відновної вартості дерев та кущів;</w:t>
      </w:r>
    </w:p>
    <w:p w:rsidR="007E5869" w:rsidRDefault="007E5869" w:rsidP="00D5313E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Вдкств – такса вартості створення одного дерева або одного куща, визначена за таблицею 1 залежно від породи дерева або куща.</w:t>
      </w:r>
    </w:p>
    <w:p w:rsidR="007E5869" w:rsidRDefault="007E5869" w:rsidP="00D5313E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869" w:rsidRDefault="007E5869" w:rsidP="00D5313E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 – Такси вартості створення одного дерева або куща, грн. </w:t>
      </w:r>
    </w:p>
    <w:p w:rsidR="00DF2F44" w:rsidRPr="007E5869" w:rsidRDefault="00DF2F44" w:rsidP="007E5869">
      <w:pPr>
        <w:tabs>
          <w:tab w:val="left" w:pos="327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145"/>
        <w:gridCol w:w="2640"/>
        <w:gridCol w:w="2445"/>
        <w:gridCol w:w="2341"/>
      </w:tblGrid>
      <w:tr w:rsidR="007E5869" w:rsidTr="007E5869">
        <w:tc>
          <w:tcPr>
            <w:tcW w:w="2145" w:type="dxa"/>
            <w:tcBorders>
              <w:right w:val="single" w:sz="4" w:space="0" w:color="auto"/>
            </w:tcBorders>
          </w:tcPr>
          <w:p w:rsidR="007E5869" w:rsidRPr="007E5869" w:rsidRDefault="007E5869" w:rsidP="007E5869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(посадка) дерев з грудкою землі 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E5869" w:rsidRPr="00212FF3" w:rsidRDefault="00212FF3" w:rsidP="00212FF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(посадка) саджанців дерев з оголеною кореневою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системою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E5869" w:rsidRPr="006A0A8F" w:rsidRDefault="006A0A8F" w:rsidP="006A0A8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Створення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посадки</w:t>
            </w:r>
            <w:r w:rsidRPr="006A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чагарників з грудкою землі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6A0A8F" w:rsidRDefault="006A0A8F" w:rsidP="00D5313E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(посадка) </w:t>
            </w:r>
          </w:p>
          <w:p w:rsidR="007E5869" w:rsidRPr="006A0A8F" w:rsidRDefault="006A0A8F" w:rsidP="006A0A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саджанців чагарників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оголеною кореневою системою</w:t>
            </w:r>
          </w:p>
        </w:tc>
      </w:tr>
      <w:tr w:rsidR="007E5869" w:rsidTr="007E5869">
        <w:tc>
          <w:tcPr>
            <w:tcW w:w="2145" w:type="dxa"/>
            <w:tcBorders>
              <w:right w:val="single" w:sz="4" w:space="0" w:color="auto"/>
            </w:tcBorders>
          </w:tcPr>
          <w:p w:rsidR="007E5869" w:rsidRPr="007E5869" w:rsidRDefault="007E5869" w:rsidP="007E5869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521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E5869" w:rsidRPr="00212FF3" w:rsidRDefault="00212FF3" w:rsidP="00212FF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F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E5869" w:rsidRPr="006A0A8F" w:rsidRDefault="00212FF3" w:rsidP="00212FF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 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7E5869" w:rsidRPr="006A0A8F" w:rsidRDefault="006A0A8F" w:rsidP="006A0A8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</w:tr>
    </w:tbl>
    <w:p w:rsidR="00DF2F44" w:rsidRDefault="00DF2F44" w:rsidP="00D5313E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A29" w:rsidRDefault="00C52D00" w:rsidP="00C52D00">
      <w:pPr>
        <w:tabs>
          <w:tab w:val="left" w:pos="11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A0A8F">
        <w:rPr>
          <w:rFonts w:ascii="Times New Roman" w:hAnsi="Times New Roman" w:cs="Times New Roman"/>
          <w:sz w:val="28"/>
          <w:szCs w:val="28"/>
          <w:lang w:val="uk-UA"/>
        </w:rPr>
        <w:t xml:space="preserve">Вартість утримання (Ву)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 дерева або одного куща розраховуються за формулою:</w:t>
      </w:r>
      <w:r w:rsidR="00944A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2D00" w:rsidRDefault="00C52D00" w:rsidP="00C52D00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Ву = Ст х Кя х Кз х Кінд,</w:t>
      </w:r>
    </w:p>
    <w:p w:rsidR="00C52D00" w:rsidRDefault="00C52D00" w:rsidP="00C52D0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Ст – такса вартості утримання одного дерева або одного куща, визначена відповідно до додатку 2  до цієї Методики; </w:t>
      </w:r>
    </w:p>
    <w:p w:rsidR="00C52D00" w:rsidRDefault="00C52D00" w:rsidP="00C52D0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Кя – коефіцієнт якісного стану;</w:t>
      </w:r>
    </w:p>
    <w:p w:rsidR="00C52D00" w:rsidRDefault="00C52D00" w:rsidP="00C52D0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 – </w:t>
      </w:r>
      <w:r w:rsidR="00C01EA3">
        <w:rPr>
          <w:rFonts w:ascii="Times New Roman" w:hAnsi="Times New Roman" w:cs="Times New Roman"/>
          <w:sz w:val="28"/>
          <w:szCs w:val="28"/>
          <w:lang w:val="uk-UA"/>
        </w:rPr>
        <w:t>коефіцієнт зонального розподілу території населеного пункту;</w:t>
      </w:r>
    </w:p>
    <w:p w:rsidR="00C01EA3" w:rsidRDefault="00C01EA3" w:rsidP="00C52D0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Кінд – коефіцієнт індексації, який визначається шляхом послідовного множення значень індексів споживчих цін за період з місяця, що передує місяцю, коли відбулося видалення дерева або куща або відбулося відведення земельної ділянки, на якій розташовані зелені насадження, в установленому порядку фізичній або юридичній особі, до базового місяця розрахунку включно.</w:t>
      </w:r>
    </w:p>
    <w:p w:rsidR="00C01EA3" w:rsidRDefault="00C01EA3" w:rsidP="00C52D00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EA3" w:rsidRDefault="002F687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Вартість утримання одного дерева визначається в залежності від діаметра дерева на висоті 1,3 м від шийки кореня, який воно має на момент його видалення або відведення земельної ділянки, на якій воно розташоване, в установленому порядку фізичній або юридичній особі (крім відновної вартості зелених насаджень, посаджених (створених)</w:t>
      </w:r>
      <w:r w:rsidR="009528B9">
        <w:rPr>
          <w:rFonts w:ascii="Times New Roman" w:hAnsi="Times New Roman" w:cs="Times New Roman"/>
          <w:sz w:val="28"/>
          <w:szCs w:val="28"/>
          <w:lang w:val="uk-UA"/>
        </w:rPr>
        <w:t xml:space="preserve"> цією особою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52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8B9" w:rsidRDefault="009528B9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Обмір дерева здійснюється комісією відповідно до підпункту 9.1.14 пункту 9.1 розділу 9 Правил.</w:t>
      </w:r>
    </w:p>
    <w:p w:rsidR="009528B9" w:rsidRDefault="009528B9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31618">
        <w:rPr>
          <w:rFonts w:ascii="Times New Roman" w:hAnsi="Times New Roman" w:cs="Times New Roman"/>
          <w:sz w:val="28"/>
          <w:szCs w:val="28"/>
          <w:lang w:val="uk-UA"/>
        </w:rPr>
        <w:t>Коефіцієнт якісного стану дерев та кущів визначається відповідно до додатку 3 до цієї Методики.</w:t>
      </w:r>
    </w:p>
    <w:p w:rsidR="00231618" w:rsidRDefault="00231618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Якісний стан дерев визначається за такими ознаками:</w:t>
      </w:r>
    </w:p>
    <w:p w:rsidR="00231618" w:rsidRDefault="00231618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добрий – дерева здорові, нормально розвинені, листя густе, рівномірно розміщене на гілках, нормального розміру і забарвлення без ознак хвороб і шкідливих ран, ушкоджень стовбурів і скелетних гілок, а також дупел;</w:t>
      </w:r>
    </w:p>
    <w:p w:rsidR="00231618" w:rsidRDefault="00231618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задовільний – дерева здорові, але з ознаками уповільненого росту, з нерівномірно розвиненою кроною, на гілках мало листя, є незначні механіч</w:t>
      </w:r>
      <w:r w:rsidR="007224FF">
        <w:rPr>
          <w:rFonts w:ascii="Times New Roman" w:hAnsi="Times New Roman" w:cs="Times New Roman"/>
          <w:sz w:val="28"/>
          <w:szCs w:val="28"/>
          <w:lang w:val="uk-UA"/>
        </w:rPr>
        <w:t>ні пошкодження і невеликі дупла;</w:t>
      </w:r>
    </w:p>
    <w:p w:rsidR="007224FF" w:rsidRDefault="007224FF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незадовільний – дерева ослаблені, стовбури мають викривлення, крони слаборозвинені, є сухі та засихаючі гілки, приріст однорічних пагонів незначний, технічно пошкоджені стовбури, є дупла.</w:t>
      </w:r>
    </w:p>
    <w:p w:rsidR="007224FF" w:rsidRDefault="007224FF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Якісний стан кущів визначається за такими ознаками:</w:t>
      </w:r>
    </w:p>
    <w:p w:rsidR="0002364E" w:rsidRDefault="007224FF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добрий – кущі </w:t>
      </w:r>
      <w:r w:rsidR="0002364E">
        <w:rPr>
          <w:rFonts w:ascii="Times New Roman" w:hAnsi="Times New Roman" w:cs="Times New Roman"/>
          <w:sz w:val="28"/>
          <w:szCs w:val="28"/>
          <w:lang w:val="uk-UA"/>
        </w:rPr>
        <w:t>нормально розвинені, здорові, листя густе по всій висоті, механічні пошкодження і пошкодження через хвороби відсутні, забарвлення і розміри листя нормальні;</w:t>
      </w:r>
    </w:p>
    <w:p w:rsidR="0002364E" w:rsidRDefault="0002364E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задовільний –  кущі здорові з ознакою уповільненого росту, листя мало, є сухі гілки, крона одностороння, є незначні механічні пошкодження і пошкодження, заподіяні шкідниками;</w:t>
      </w:r>
    </w:p>
    <w:p w:rsidR="007224FF" w:rsidRPr="00144F14" w:rsidRDefault="0002364E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незадовільний – кущі ослаблені, значно оголені знизу, листя дрібне, багато сухих гілок, механічних пошкоджень, пошкоджень, заподіяних шкідниками. </w:t>
      </w:r>
    </w:p>
    <w:p w:rsidR="00144F14" w:rsidRDefault="00144F1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14" w:rsidRDefault="00144F1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Коефіцієнт зонального розподілу території населеного пункту визначається з урахуванням містобудівної цінності ділянки території населеного пункту відповідно до додатку 4 до цієї Методики.</w:t>
      </w:r>
    </w:p>
    <w:p w:rsidR="00144F14" w:rsidRDefault="00144F1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14" w:rsidRDefault="00144F1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Визначення зон містобудівної цінності територій населених пунктів здійснюється балансоутримувачем відповідно до додатку 5 до цієї Методики. </w:t>
      </w:r>
    </w:p>
    <w:p w:rsidR="00144F14" w:rsidRDefault="00144F1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0EE" w:rsidRDefault="00144F1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У разі встановлення комісією необхідності пересадження дерев або кущів сума їх відновної вартості складається </w:t>
      </w:r>
      <w:r w:rsidR="009070EE">
        <w:rPr>
          <w:rFonts w:ascii="Times New Roman" w:hAnsi="Times New Roman" w:cs="Times New Roman"/>
          <w:sz w:val="28"/>
          <w:szCs w:val="28"/>
          <w:lang w:val="uk-UA"/>
        </w:rPr>
        <w:t>з вартості робіт з пересадження рослини та догляду за нею на період приживлення протягом  двох  років.</w:t>
      </w:r>
    </w:p>
    <w:p w:rsidR="009070EE" w:rsidRDefault="009070EE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F14" w:rsidRDefault="00144F14" w:rsidP="00C01EA3">
      <w:pPr>
        <w:tabs>
          <w:tab w:val="left" w:pos="36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070EE" w:rsidRDefault="009070EE" w:rsidP="009070EE">
      <w:pPr>
        <w:tabs>
          <w:tab w:val="left" w:pos="367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5D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070EE">
        <w:rPr>
          <w:rFonts w:ascii="Times New Roman" w:hAnsi="Times New Roman" w:cs="Times New Roman"/>
          <w:b/>
          <w:sz w:val="28"/>
          <w:szCs w:val="28"/>
          <w:lang w:val="uk-UA"/>
        </w:rPr>
        <w:t>Визначення відновної вартості газонів</w:t>
      </w:r>
    </w:p>
    <w:p w:rsidR="009070EE" w:rsidRDefault="009070EE" w:rsidP="009070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F14" w:rsidRDefault="009070EE" w:rsidP="009070EE">
      <w:pPr>
        <w:tabs>
          <w:tab w:val="left" w:pos="3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Відновна вартість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газону розраховується із застосуванням коефіцієнтів функціональної належності, якісного стану та зонального розподілу території населеного пункту за формулою:</w:t>
      </w:r>
    </w:p>
    <w:p w:rsidR="004427E2" w:rsidRDefault="004427E2" w:rsidP="00442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Вв = Вств х Кф х Кя х Кз, </w:t>
      </w:r>
    </w:p>
    <w:p w:rsidR="009070EE" w:rsidRDefault="004427E2" w:rsidP="004427E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де: Вв – відновна вартість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газону;</w:t>
      </w:r>
    </w:p>
    <w:p w:rsidR="004427E2" w:rsidRDefault="004427E2" w:rsidP="004427E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Вств – вартість створення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газону; </w:t>
      </w:r>
    </w:p>
    <w:p w:rsidR="004427E2" w:rsidRDefault="004427E2" w:rsidP="004427E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Кф – коефіцієнт функціональної належності газону;</w:t>
      </w:r>
    </w:p>
    <w:p w:rsidR="004427E2" w:rsidRDefault="004427E2" w:rsidP="004427E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Кя – коефіцієнт якісного стану;</w:t>
      </w:r>
    </w:p>
    <w:p w:rsidR="003E001F" w:rsidRDefault="004427E2" w:rsidP="004427E2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 – коефіцієнт зонального розподілу території населеного пункту (додаток 4 до Методики). </w:t>
      </w:r>
    </w:p>
    <w:p w:rsidR="003E001F" w:rsidRDefault="003E001F" w:rsidP="003E001F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Вартість створення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газону визначається за формулою:</w:t>
      </w:r>
    </w:p>
    <w:p w:rsidR="003E001F" w:rsidRDefault="003E001F" w:rsidP="003E001F">
      <w:pPr>
        <w:tabs>
          <w:tab w:val="left" w:pos="34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Вств = Вг х Кг + Вгств, </w:t>
      </w:r>
    </w:p>
    <w:p w:rsidR="003E001F" w:rsidRDefault="003E001F" w:rsidP="003E001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Вг – документально підтверджена у встановленому порядку  вартість насіння однолітніх або багатолітніх трав, що використовувалося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газонів, які видаляються або втрачені, визначена на момент здійснення розрахунку відновної вартості газону;</w:t>
      </w:r>
    </w:p>
    <w:p w:rsidR="003E001F" w:rsidRDefault="003E001F" w:rsidP="003E001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Кг – нормативна витрата насіння однолітніх або багатолітніх трав на створення 1м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газону;</w:t>
      </w:r>
    </w:p>
    <w:p w:rsidR="003E001F" w:rsidRDefault="003E001F" w:rsidP="003E001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Вгств – такса вартості створення 1 м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газону, визначена за таблицею 2.</w:t>
      </w:r>
    </w:p>
    <w:p w:rsidR="003E001F" w:rsidRPr="003E001F" w:rsidRDefault="003E001F" w:rsidP="003E001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01F" w:rsidRDefault="003E001F" w:rsidP="003E001F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 – Такси вартості створення 1м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газону, грн.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E001F" w:rsidTr="003E001F">
        <w:tc>
          <w:tcPr>
            <w:tcW w:w="4785" w:type="dxa"/>
          </w:tcPr>
          <w:p w:rsidR="003E001F" w:rsidRDefault="003E001F" w:rsidP="001157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газону вручну без внесення рослинного </w:t>
            </w:r>
            <w:r w:rsidR="00115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ґрунту </w:t>
            </w:r>
          </w:p>
        </w:tc>
        <w:tc>
          <w:tcPr>
            <w:tcW w:w="4786" w:type="dxa"/>
          </w:tcPr>
          <w:p w:rsidR="003E001F" w:rsidRDefault="00115789" w:rsidP="003E00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газону вручну з внесенням рослинного ґрунту </w:t>
            </w:r>
          </w:p>
        </w:tc>
      </w:tr>
      <w:tr w:rsidR="003E001F" w:rsidTr="003E001F">
        <w:tc>
          <w:tcPr>
            <w:tcW w:w="4785" w:type="dxa"/>
          </w:tcPr>
          <w:p w:rsidR="003E001F" w:rsidRDefault="00115789" w:rsidP="00115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86" w:type="dxa"/>
          </w:tcPr>
          <w:p w:rsidR="003E001F" w:rsidRDefault="00115789" w:rsidP="00115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</w:p>
        </w:tc>
      </w:tr>
    </w:tbl>
    <w:p w:rsidR="00115789" w:rsidRDefault="00115789" w:rsidP="003E001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7E2" w:rsidRDefault="00115789" w:rsidP="0011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Коефіцієнт функціональної належності газонів визначається відповідно до Додатку 6 до цієї Методики.</w:t>
      </w:r>
    </w:p>
    <w:p w:rsidR="00115789" w:rsidRDefault="00115789" w:rsidP="0011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Коефіцієнт якісного стану газонів визначається відповідно до додатку 3 до цієї Методики.</w:t>
      </w:r>
    </w:p>
    <w:p w:rsidR="00115789" w:rsidRDefault="00115789" w:rsidP="0011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Якісний стан газонів визначають за такими ознаками: </w:t>
      </w:r>
    </w:p>
    <w:p w:rsidR="00115789" w:rsidRDefault="00115789" w:rsidP="0011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добрий – поверхня добре спланована, трава густа, однорідна, рівномірна, регулярно підстригається, колір інтенсивно зелений, бур'янів і моху немає;</w:t>
      </w:r>
    </w:p>
    <w:p w:rsidR="00115789" w:rsidRDefault="00115789" w:rsidP="0011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 задовільний – поверхня газону із значними нерівностями, травостій нерівний, багато бур'янів, підстригається нерегулярно колір </w:t>
      </w:r>
      <w:r w:rsidR="00391328">
        <w:rPr>
          <w:rFonts w:ascii="Times New Roman" w:hAnsi="Times New Roman" w:cs="Times New Roman"/>
          <w:sz w:val="28"/>
          <w:szCs w:val="28"/>
          <w:lang w:val="uk-UA"/>
        </w:rPr>
        <w:t>зелений, витоптаних місць немає;</w:t>
      </w:r>
    </w:p>
    <w:p w:rsidR="00391328" w:rsidRDefault="00391328" w:rsidP="0011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незадовільний – </w:t>
      </w:r>
      <w:r w:rsidR="002666B9">
        <w:rPr>
          <w:rFonts w:ascii="Times New Roman" w:hAnsi="Times New Roman" w:cs="Times New Roman"/>
          <w:sz w:val="28"/>
          <w:szCs w:val="28"/>
          <w:lang w:val="uk-UA"/>
        </w:rPr>
        <w:t>травостій рідкий, неоднорідний, різнобарвний, переважно жовтого відтінку, багато широколистих бур'янів, моху та витоптаних місць.</w:t>
      </w:r>
    </w:p>
    <w:p w:rsidR="002666B9" w:rsidRDefault="002666B9" w:rsidP="00115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B9" w:rsidRDefault="002666B9" w:rsidP="002666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789" w:rsidRPr="00252AB3" w:rsidRDefault="00252AB3" w:rsidP="00252AB3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52AB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52A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Визначення відновної вартості квітників</w:t>
      </w:r>
    </w:p>
    <w:p w:rsidR="00115789" w:rsidRDefault="00252AB3" w:rsidP="00725F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Відновна вартість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квітників розраховується із застосуванням </w:t>
      </w:r>
      <w:r w:rsidR="00725F8B">
        <w:rPr>
          <w:rFonts w:ascii="Times New Roman" w:hAnsi="Times New Roman" w:cs="Times New Roman"/>
          <w:sz w:val="28"/>
          <w:szCs w:val="28"/>
          <w:lang w:val="uk-UA"/>
        </w:rPr>
        <w:t>коефіцієнтів якісного стану та зонального розподілу територій населеного пункту за формулою:</w:t>
      </w:r>
    </w:p>
    <w:p w:rsidR="00725F8B" w:rsidRDefault="00725F8B" w:rsidP="00725F8B">
      <w:pPr>
        <w:tabs>
          <w:tab w:val="left" w:pos="25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Вв = Вств х Кя х Кз,</w:t>
      </w:r>
    </w:p>
    <w:p w:rsidR="00725F8B" w:rsidRDefault="00725F8B" w:rsidP="00725F8B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де: Вв – відновна вартість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квітників;</w:t>
      </w:r>
    </w:p>
    <w:p w:rsidR="00725F8B" w:rsidRDefault="00725F8B" w:rsidP="00725F8B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Вств – вартість створення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квітників;</w:t>
      </w:r>
    </w:p>
    <w:p w:rsidR="00725F8B" w:rsidRDefault="00725F8B" w:rsidP="00725F8B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Кя – коефіцієнт якісного стану квітників; </w:t>
      </w:r>
    </w:p>
    <w:p w:rsidR="006B3DA2" w:rsidRDefault="00725F8B" w:rsidP="00725F8B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– коефіцієнт зонального розподілу території населеного пункту (</w:t>
      </w:r>
      <w:r w:rsidR="006B3DA2">
        <w:rPr>
          <w:rFonts w:ascii="Times New Roman" w:hAnsi="Times New Roman" w:cs="Times New Roman"/>
          <w:sz w:val="28"/>
          <w:szCs w:val="28"/>
          <w:lang w:val="uk-UA"/>
        </w:rPr>
        <w:t>додаток 4 до Методики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3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DA2" w:rsidRDefault="006B3DA2" w:rsidP="006B3DA2">
      <w:pPr>
        <w:tabs>
          <w:tab w:val="left" w:pos="25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Вартість створення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квітників розраховують за формулою:</w:t>
      </w:r>
    </w:p>
    <w:p w:rsidR="00725F8B" w:rsidRDefault="00725F8B" w:rsidP="006B3DA2">
      <w:pPr>
        <w:tabs>
          <w:tab w:val="left" w:pos="33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6B3DA2">
        <w:rPr>
          <w:rFonts w:ascii="Times New Roman" w:hAnsi="Times New Roman" w:cs="Times New Roman"/>
          <w:sz w:val="28"/>
          <w:szCs w:val="28"/>
          <w:lang w:val="uk-UA"/>
        </w:rPr>
        <w:tab/>
        <w:t>Вств = Вк х Кк + Вкств,</w:t>
      </w:r>
    </w:p>
    <w:p w:rsidR="006B3DA2" w:rsidRDefault="006B3DA2" w:rsidP="006B3DA2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Вк – документально підтверджена у встановленому порядку вартість одного куща або однієї цибулини квітників з </w:t>
      </w:r>
      <w:r w:rsidR="00D0408B">
        <w:rPr>
          <w:rFonts w:ascii="Times New Roman" w:hAnsi="Times New Roman" w:cs="Times New Roman"/>
          <w:sz w:val="28"/>
          <w:szCs w:val="28"/>
          <w:lang w:val="uk-UA"/>
        </w:rPr>
        <w:t xml:space="preserve">однолітників або багатолітників, що використовувалося для створення квітників, які видаляються або втрачені, визначена на момент здійснення розрахунку відновної вартості газону; </w:t>
      </w:r>
    </w:p>
    <w:p w:rsidR="00D0408B" w:rsidRDefault="00D0408B" w:rsidP="006B3DA2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Кк – нормативна кількість рослин на 1м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квітника;</w:t>
      </w:r>
    </w:p>
    <w:p w:rsidR="00D0408B" w:rsidRDefault="00D0408B" w:rsidP="006B3DA2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Вкств – такса вартості створення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квітника, визначена за таблицею 3.</w:t>
      </w:r>
    </w:p>
    <w:p w:rsidR="00D0408B" w:rsidRDefault="00D0408B" w:rsidP="006B3DA2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08B" w:rsidRPr="00D0408B" w:rsidRDefault="00D0408B" w:rsidP="006B3DA2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F8B" w:rsidRDefault="00D0408B" w:rsidP="00252A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 – Такса вартості створення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квітників.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0408B" w:rsidTr="00D0408B">
        <w:tc>
          <w:tcPr>
            <w:tcW w:w="4785" w:type="dxa"/>
          </w:tcPr>
          <w:p w:rsidR="00D0408B" w:rsidRDefault="00D0408B" w:rsidP="00695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(посадки) квітників </w:t>
            </w:r>
            <w:r w:rsidR="00A91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однорічників та багаторічників </w:t>
            </w:r>
            <w:r w:rsidR="00695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підготовкою ґрунту </w:t>
            </w:r>
          </w:p>
        </w:tc>
        <w:tc>
          <w:tcPr>
            <w:tcW w:w="4786" w:type="dxa"/>
          </w:tcPr>
          <w:p w:rsidR="00D0408B" w:rsidRDefault="00695BA6" w:rsidP="00695B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(посадки) квітників цибулинних з підготовкою ґрунту </w:t>
            </w:r>
          </w:p>
        </w:tc>
      </w:tr>
      <w:tr w:rsidR="00D0408B" w:rsidTr="00D0408B">
        <w:tc>
          <w:tcPr>
            <w:tcW w:w="4785" w:type="dxa"/>
          </w:tcPr>
          <w:p w:rsidR="00D0408B" w:rsidRDefault="00695BA6" w:rsidP="0069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 </w:t>
            </w:r>
          </w:p>
        </w:tc>
        <w:tc>
          <w:tcPr>
            <w:tcW w:w="4786" w:type="dxa"/>
          </w:tcPr>
          <w:p w:rsidR="00D0408B" w:rsidRDefault="00695BA6" w:rsidP="00695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</w:tbl>
    <w:p w:rsidR="00D0408B" w:rsidRDefault="00D0408B" w:rsidP="00252A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BA6" w:rsidRDefault="00695BA6" w:rsidP="00252A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Коефіцієнт якісного стану квітників визначається відповідно до додатку 3 до цієї Методики.</w:t>
      </w:r>
    </w:p>
    <w:p w:rsidR="00695BA6" w:rsidRDefault="00C52000" w:rsidP="00C520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Якісний стан квітників з багаторічних рослин визначають за такими ознаками:</w:t>
      </w:r>
    </w:p>
    <w:p w:rsidR="00C52000" w:rsidRDefault="00C52000" w:rsidP="00C520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добрий – поверхня вирівняна, грунт одобрений, рослини добре розвинені, однакові за якістю, бур'янів немає, догляд регулярний;</w:t>
      </w:r>
    </w:p>
    <w:p w:rsidR="00C52000" w:rsidRDefault="00C52000" w:rsidP="00C520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задовільний – поверхня погано вирівняна, мало внесено добрив у грунт, рослини нормально розвинені, є  бур</w:t>
      </w:r>
      <w:r w:rsidR="005D5D10">
        <w:rPr>
          <w:rFonts w:ascii="Times New Roman" w:hAnsi="Times New Roman" w:cs="Times New Roman"/>
          <w:sz w:val="28"/>
          <w:szCs w:val="28"/>
          <w:lang w:val="uk-UA"/>
        </w:rPr>
        <w:t>'яни, догляд за квітниками і ремонт нерегулярні;</w:t>
      </w:r>
    </w:p>
    <w:p w:rsidR="005D5D10" w:rsidRDefault="005D5D10" w:rsidP="00C520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незадовільний – поверхня має значні нерівності, добрива не внесені, рослини слаборозвинені, багато бур'янів, сухого листя.</w:t>
      </w:r>
    </w:p>
    <w:p w:rsidR="00C52000" w:rsidRDefault="00C52000" w:rsidP="005D5D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D10" w:rsidRDefault="005D5D10" w:rsidP="005D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</w:p>
    <w:p w:rsidR="005D5D10" w:rsidRDefault="005D5D10" w:rsidP="005D5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територій та </w:t>
      </w:r>
    </w:p>
    <w:p w:rsidR="005D5D10" w:rsidRDefault="005D5D10" w:rsidP="005D5D10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обслуговування                                                    М.О. Барінов</w:t>
      </w:r>
    </w:p>
    <w:p w:rsidR="005D5D10" w:rsidRDefault="005D5D10" w:rsidP="005D5D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D10" w:rsidRDefault="005D5D10" w:rsidP="005D5D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5D10" w:rsidRDefault="005D5D10" w:rsidP="005D5D10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D5D10" w:rsidRDefault="005D5D10" w:rsidP="005D5D10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D5D10" w:rsidRPr="001932DC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5D5D10" w:rsidRPr="001932DC">
        <w:rPr>
          <w:rFonts w:ascii="Times New Roman" w:hAnsi="Times New Roman" w:cs="Times New Roman"/>
          <w:sz w:val="28"/>
          <w:szCs w:val="28"/>
          <w:lang w:val="uk-UA"/>
        </w:rPr>
        <w:t>Додаток 1 до Методики</w:t>
      </w:r>
    </w:p>
    <w:p w:rsidR="005D5D10" w:rsidRPr="001932DC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32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5D5D10" w:rsidRPr="001932D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відновної вартості </w:t>
      </w:r>
    </w:p>
    <w:p w:rsidR="005D5D10" w:rsidRPr="001932DC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32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5D5D10" w:rsidRPr="001932DC">
        <w:rPr>
          <w:rFonts w:ascii="Times New Roman" w:hAnsi="Times New Roman" w:cs="Times New Roman"/>
          <w:sz w:val="28"/>
          <w:szCs w:val="28"/>
          <w:lang w:val="uk-UA"/>
        </w:rPr>
        <w:t>зелених насаджень</w:t>
      </w:r>
    </w:p>
    <w:p w:rsidR="005D5D10" w:rsidRPr="001932DC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932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5D5D10" w:rsidRPr="001932DC">
        <w:rPr>
          <w:rFonts w:ascii="Times New Roman" w:hAnsi="Times New Roman" w:cs="Times New Roman"/>
          <w:sz w:val="28"/>
          <w:szCs w:val="28"/>
          <w:lang w:val="uk-UA"/>
        </w:rPr>
        <w:t>(пункт 3 розділу І)</w:t>
      </w:r>
    </w:p>
    <w:p w:rsidR="001932DC" w:rsidRDefault="001932DC" w:rsidP="001932DC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2DC" w:rsidRDefault="001932DC" w:rsidP="001932DC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D10" w:rsidRPr="005D5D10" w:rsidRDefault="005D5D10" w:rsidP="001932DC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АКТ</w:t>
      </w:r>
    </w:p>
    <w:p w:rsidR="005D5D10" w:rsidRPr="005D5D10" w:rsidRDefault="005D5D10" w:rsidP="001932DC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обстеження зелених насаджень,</w:t>
      </w:r>
    </w:p>
    <w:p w:rsidR="005D5D10" w:rsidRDefault="005D5D10" w:rsidP="001932DC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що підлягають видаленню</w:t>
      </w:r>
    </w:p>
    <w:p w:rsidR="001932DC" w:rsidRPr="005D5D10" w:rsidRDefault="001932DC" w:rsidP="001932DC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D10" w:rsidRPr="005D5D10" w:rsidRDefault="005D5D10" w:rsidP="005D5D10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________________________________ "____"_____________</w:t>
      </w:r>
      <w:r w:rsidR="001932D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20____року </w:t>
      </w:r>
    </w:p>
    <w:p w:rsidR="005D5D10" w:rsidRPr="005D5D10" w:rsidRDefault="005D5D10" w:rsidP="005D5D10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(назва населеного пункту)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Комісію утворено __________________________________________________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(найменування компетентного органу, який утворив комісію,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="00193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номер, дата рішення про її утворення)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_____________________________________________________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ім'я, по батькові, посада)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1. __________________________________________________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ім'я, по батькові, посада)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2. __________________________________________________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ім'я, по батькові, посада)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3. ___________________________________________________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ім'я, по батькові, посада)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Представник заявника _______________________________________________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ім'я, по батькові, посада)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Комісія здійснила обстеження зелених насаджень, розташованих за адресою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зелених насаджень пов'язано з ____________________________ </w:t>
      </w:r>
    </w:p>
    <w:p w:rsidR="005D5D10" w:rsidRPr="005D5D10" w:rsidRDefault="001932DC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5D5D10"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 (вказується підстава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обстеження зелених насаджень відповідно до Порядку видалення дерев,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 xml:space="preserve">кущів, газонів і квітників у населених пунктах, затвердженого </w:t>
      </w:r>
    </w:p>
    <w:p w:rsidR="005D5D10" w:rsidRP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5D5D10" w:rsidRDefault="005D5D10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5D10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01 серпня 2006 року № 1045</w:t>
      </w:r>
    </w:p>
    <w:p w:rsidR="00DD598F" w:rsidRDefault="00DD598F" w:rsidP="001932DC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598F" w:rsidRPr="00DD598F" w:rsidRDefault="00DD598F" w:rsidP="00DD598F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Pr="00DD598F">
        <w:rPr>
          <w:rFonts w:ascii="Times New Roman" w:hAnsi="Times New Roman" w:cs="Times New Roman"/>
          <w:sz w:val="28"/>
          <w:szCs w:val="28"/>
          <w:lang w:val="uk-UA"/>
        </w:rPr>
        <w:t>Продовження додатку 1</w:t>
      </w:r>
    </w:p>
    <w:p w:rsidR="00DD598F" w:rsidRDefault="00DD598F" w:rsidP="00DD598F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598F" w:rsidRDefault="00DD598F" w:rsidP="00DD598F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598F">
        <w:rPr>
          <w:rFonts w:ascii="Times New Roman" w:hAnsi="Times New Roman" w:cs="Times New Roman"/>
          <w:sz w:val="28"/>
          <w:szCs w:val="28"/>
          <w:lang w:val="uk-UA"/>
        </w:rPr>
        <w:t>1. Зелені насадження, що підлягають видаленню:</w:t>
      </w:r>
    </w:p>
    <w:p w:rsidR="00DD598F" w:rsidRDefault="00DD598F" w:rsidP="00DD59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735"/>
        <w:gridCol w:w="1117"/>
        <w:gridCol w:w="797"/>
        <w:gridCol w:w="822"/>
        <w:gridCol w:w="978"/>
        <w:gridCol w:w="1067"/>
        <w:gridCol w:w="1511"/>
        <w:gridCol w:w="1429"/>
        <w:gridCol w:w="1892"/>
      </w:tblGrid>
      <w:tr w:rsidR="00FD286E" w:rsidTr="00FD286E">
        <w:tc>
          <w:tcPr>
            <w:tcW w:w="735" w:type="dxa"/>
          </w:tcPr>
          <w:p w:rsidR="00DD598F" w:rsidRPr="001A413F" w:rsidRDefault="001A413F" w:rsidP="00DD5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17" w:type="dxa"/>
          </w:tcPr>
          <w:p w:rsidR="00DD598F" w:rsidRPr="001A413F" w:rsidRDefault="001A413F" w:rsidP="00DD5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 зелених насаджень </w:t>
            </w:r>
          </w:p>
        </w:tc>
        <w:tc>
          <w:tcPr>
            <w:tcW w:w="797" w:type="dxa"/>
          </w:tcPr>
          <w:p w:rsidR="00DD598F" w:rsidRPr="001A413F" w:rsidRDefault="001A413F" w:rsidP="00DD5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 (років)</w:t>
            </w:r>
          </w:p>
        </w:tc>
        <w:tc>
          <w:tcPr>
            <w:tcW w:w="822" w:type="dxa"/>
          </w:tcPr>
          <w:p w:rsidR="00DD598F" w:rsidRPr="001A413F" w:rsidRDefault="001A413F" w:rsidP="00DD5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Висота (м)</w:t>
            </w:r>
          </w:p>
        </w:tc>
        <w:tc>
          <w:tcPr>
            <w:tcW w:w="978" w:type="dxa"/>
          </w:tcPr>
          <w:p w:rsidR="00DD598F" w:rsidRPr="001A413F" w:rsidRDefault="001A413F" w:rsidP="001A41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Діаметр стовбура на висоті 1,3 м від шийки кореня (см)</w:t>
            </w:r>
          </w:p>
        </w:tc>
        <w:tc>
          <w:tcPr>
            <w:tcW w:w="1067" w:type="dxa"/>
          </w:tcPr>
          <w:p w:rsidR="00DD598F" w:rsidRPr="001A413F" w:rsidRDefault="001A413F" w:rsidP="00DD5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Кількість, шт.</w:t>
            </w:r>
          </w:p>
        </w:tc>
        <w:tc>
          <w:tcPr>
            <w:tcW w:w="1511" w:type="dxa"/>
          </w:tcPr>
          <w:p w:rsidR="00DD598F" w:rsidRPr="001A413F" w:rsidRDefault="001A413F" w:rsidP="00DD5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Якісний стан зелених насаджень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(хороший, задовільний, незадовільний)</w:t>
            </w:r>
          </w:p>
        </w:tc>
        <w:tc>
          <w:tcPr>
            <w:tcW w:w="1429" w:type="dxa"/>
          </w:tcPr>
          <w:p w:rsidR="00DD598F" w:rsidRPr="001A413F" w:rsidRDefault="001A413F" w:rsidP="00DD59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Підлягає зрізуванню, (шт.)</w:t>
            </w:r>
          </w:p>
        </w:tc>
        <w:tc>
          <w:tcPr>
            <w:tcW w:w="1892" w:type="dxa"/>
          </w:tcPr>
          <w:p w:rsidR="00DD598F" w:rsidRPr="00FD286E" w:rsidRDefault="00FD286E" w:rsidP="00DD5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28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Підлягає переадресуванню (шт.)</w:t>
            </w:r>
          </w:p>
        </w:tc>
      </w:tr>
      <w:tr w:rsidR="00FD286E" w:rsidTr="00FD286E">
        <w:tc>
          <w:tcPr>
            <w:tcW w:w="735" w:type="dxa"/>
          </w:tcPr>
          <w:p w:rsidR="00DD598F" w:rsidRDefault="00FD286E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17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86E" w:rsidTr="00FD286E">
        <w:tc>
          <w:tcPr>
            <w:tcW w:w="735" w:type="dxa"/>
          </w:tcPr>
          <w:p w:rsidR="00DD598F" w:rsidRDefault="00FD286E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17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DD598F" w:rsidRDefault="00DD598F" w:rsidP="00DD5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598F" w:rsidRDefault="00FD286E" w:rsidP="00FD286E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D286E" w:rsidRDefault="00FD286E" w:rsidP="00FD286E">
      <w:pPr>
        <w:tabs>
          <w:tab w:val="left" w:pos="102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підлягає пересаджуванню ______ дерев ______ кущів</w:t>
      </w:r>
    </w:p>
    <w:p w:rsidR="00FD286E" w:rsidRDefault="00FD286E" w:rsidP="00FD286E">
      <w:pPr>
        <w:tabs>
          <w:tab w:val="left" w:pos="1020"/>
          <w:tab w:val="left" w:pos="3945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підлягає зрізуванню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 дерев ______ кущів</w:t>
      </w:r>
    </w:p>
    <w:p w:rsidR="00FD286E" w:rsidRDefault="00FD286E" w:rsidP="00FD286E">
      <w:pPr>
        <w:tabs>
          <w:tab w:val="left" w:pos="1020"/>
          <w:tab w:val="left" w:pos="3945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видаляється:</w:t>
      </w:r>
    </w:p>
    <w:p w:rsidR="00FD286E" w:rsidRDefault="00FD286E" w:rsidP="00BA5D0B">
      <w:pPr>
        <w:tabs>
          <w:tab w:val="left" w:pos="1020"/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C5FE9">
        <w:rPr>
          <w:rFonts w:ascii="Times New Roman" w:hAnsi="Times New Roman" w:cs="Times New Roman"/>
          <w:sz w:val="28"/>
          <w:szCs w:val="28"/>
          <w:lang w:val="uk-UA"/>
        </w:rPr>
        <w:t xml:space="preserve"> Дерев ____________________________________ одиниць</w:t>
      </w:r>
    </w:p>
    <w:p w:rsidR="002C5FE9" w:rsidRDefault="002C5FE9" w:rsidP="00BA5D0B">
      <w:pPr>
        <w:tabs>
          <w:tab w:val="left" w:pos="1020"/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Кущів ____________________________________ одиниць</w:t>
      </w:r>
    </w:p>
    <w:p w:rsidR="002C5FE9" w:rsidRDefault="002C5FE9" w:rsidP="00BA5D0B">
      <w:pPr>
        <w:tabs>
          <w:tab w:val="left" w:pos="1020"/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Газонів ___________________________________ га</w:t>
      </w:r>
    </w:p>
    <w:p w:rsidR="00BA5D0B" w:rsidRDefault="002C5FE9" w:rsidP="00BA5D0B">
      <w:pPr>
        <w:tabs>
          <w:tab w:val="left" w:pos="1020"/>
          <w:tab w:val="left" w:pos="394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Квітників _________________________________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BA5D0B" w:rsidRDefault="00BA5D0B" w:rsidP="00BA5D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5D0B" w:rsidRDefault="00BA5D0B" w:rsidP="0018390A">
      <w:pPr>
        <w:tabs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Відновна вартість зелених насаджень, що підлягають видаленню </w:t>
      </w:r>
    </w:p>
    <w:p w:rsidR="0018390A" w:rsidRDefault="00BA5D0B" w:rsidP="00BA5D0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Дерев ____________________________________ гривень </w:t>
      </w:r>
    </w:p>
    <w:p w:rsidR="0018390A" w:rsidRDefault="0018390A" w:rsidP="00BA5D0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Кущів ____________________________________ гривень</w:t>
      </w:r>
    </w:p>
    <w:p w:rsidR="0018390A" w:rsidRDefault="0018390A" w:rsidP="00BA5D0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Газонів ___________________________________ гривень</w:t>
      </w:r>
    </w:p>
    <w:p w:rsidR="0018390A" w:rsidRDefault="0018390A" w:rsidP="00BA5D0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Квітників _________________________________ гривень </w:t>
      </w:r>
    </w:p>
    <w:p w:rsidR="002C5FE9" w:rsidRDefault="0018390A" w:rsidP="0018390A">
      <w:pPr>
        <w:tabs>
          <w:tab w:val="left" w:pos="870"/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Разом _________________________________ гривень</w:t>
      </w:r>
    </w:p>
    <w:p w:rsidR="0018390A" w:rsidRDefault="0018390A" w:rsidP="0018390A">
      <w:pPr>
        <w:tabs>
          <w:tab w:val="left" w:pos="870"/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90A" w:rsidRDefault="0018390A" w:rsidP="0018390A">
      <w:pPr>
        <w:tabs>
          <w:tab w:val="left" w:pos="870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Зелені насадження, що залишаються на місці в межах відведеної під забудову ділянки:</w:t>
      </w:r>
    </w:p>
    <w:tbl>
      <w:tblPr>
        <w:tblStyle w:val="a4"/>
        <w:tblW w:w="0" w:type="auto"/>
        <w:tblLook w:val="04A0"/>
      </w:tblPr>
      <w:tblGrid>
        <w:gridCol w:w="1209"/>
        <w:gridCol w:w="1354"/>
        <w:gridCol w:w="1283"/>
        <w:gridCol w:w="1289"/>
        <w:gridCol w:w="1323"/>
        <w:gridCol w:w="1344"/>
        <w:gridCol w:w="1769"/>
      </w:tblGrid>
      <w:tr w:rsidR="0018390A" w:rsidTr="0018390A">
        <w:tc>
          <w:tcPr>
            <w:tcW w:w="1367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зелених насаджень</w:t>
            </w:r>
          </w:p>
        </w:tc>
        <w:tc>
          <w:tcPr>
            <w:tcW w:w="1367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(років)</w:t>
            </w:r>
          </w:p>
        </w:tc>
        <w:tc>
          <w:tcPr>
            <w:tcW w:w="1367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Висота (м)</w:t>
            </w:r>
          </w:p>
        </w:tc>
        <w:tc>
          <w:tcPr>
            <w:tcW w:w="1367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стовбура на висоті 1,3 м від шийки кореня (см)</w:t>
            </w:r>
          </w:p>
        </w:tc>
        <w:tc>
          <w:tcPr>
            <w:tcW w:w="1368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Кількість, шт.</w:t>
            </w:r>
          </w:p>
        </w:tc>
        <w:tc>
          <w:tcPr>
            <w:tcW w:w="1368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Якісний стан зелених насаджень (хороший, задовільний, незадовільний)</w:t>
            </w:r>
          </w:p>
        </w:tc>
      </w:tr>
      <w:tr w:rsidR="0018390A" w:rsidTr="0018390A">
        <w:tc>
          <w:tcPr>
            <w:tcW w:w="1367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90A" w:rsidTr="0018390A">
        <w:tc>
          <w:tcPr>
            <w:tcW w:w="1367" w:type="dxa"/>
          </w:tcPr>
          <w:p w:rsidR="0018390A" w:rsidRP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9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18390A" w:rsidRDefault="0018390A" w:rsidP="0018390A">
            <w:pPr>
              <w:tabs>
                <w:tab w:val="left" w:pos="870"/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1F10" w:rsidRDefault="00941F10" w:rsidP="0018390A">
      <w:pPr>
        <w:tabs>
          <w:tab w:val="left" w:pos="870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F10" w:rsidRDefault="00941F10" w:rsidP="0018390A">
      <w:pPr>
        <w:tabs>
          <w:tab w:val="left" w:pos="870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Усього залишається на місці:</w:t>
      </w:r>
    </w:p>
    <w:p w:rsidR="0018390A" w:rsidRDefault="00941F1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Дерев ________________________________ одиниць</w:t>
      </w:r>
    </w:p>
    <w:p w:rsidR="00941F10" w:rsidRDefault="00941F1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Кущів ________________________________ одиниць</w:t>
      </w:r>
    </w:p>
    <w:p w:rsidR="00941F10" w:rsidRDefault="00941F1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Газонів _______________________________  га</w:t>
      </w:r>
    </w:p>
    <w:p w:rsidR="00941F10" w:rsidRDefault="00941F1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Квітників _____________________________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941F10" w:rsidRDefault="00941F10" w:rsidP="00941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1F10" w:rsidRDefault="00941F1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Визначення відновної вартості зелених насаджень відповідно до проектної документації</w:t>
      </w:r>
    </w:p>
    <w:p w:rsidR="00941F10" w:rsidRDefault="00941F1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Сума, передбачена в проектній документації на озеленення території, </w:t>
      </w:r>
    </w:p>
    <w:p w:rsidR="00941F10" w:rsidRDefault="00941F10" w:rsidP="00941F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 гривень.</w:t>
      </w:r>
    </w:p>
    <w:p w:rsidR="00941F10" w:rsidRDefault="00941F10" w:rsidP="00941F10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(сума цифрами та словами)</w:t>
      </w:r>
    </w:p>
    <w:p w:rsidR="00941F10" w:rsidRDefault="00941F1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відновної вартості зелених насаджень, що підлягає сплаті, визначається за формулою:</w:t>
      </w:r>
    </w:p>
    <w:p w:rsidR="00941F10" w:rsidRDefault="00A53460" w:rsidP="0094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Сдс = Вв – Со,</w:t>
      </w:r>
    </w:p>
    <w:p w:rsidR="00941F10" w:rsidRDefault="00A53460" w:rsidP="00A53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де: Сдс – сума відновної вартості зелених насаджень, що підлягає сплаті;</w:t>
      </w:r>
    </w:p>
    <w:p w:rsidR="00A53460" w:rsidRDefault="00A53460" w:rsidP="00A53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 – сума відновної вартості зелених насаджень, зазначена у позиції «Разом» пункту 2 цього акта;</w:t>
      </w:r>
    </w:p>
    <w:p w:rsidR="00A53460" w:rsidRDefault="00A53460" w:rsidP="00A53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 – сума, передбачена в проектній документації на озеленення </w:t>
      </w:r>
      <w:r w:rsidR="004E60AD">
        <w:rPr>
          <w:rFonts w:ascii="Times New Roman" w:hAnsi="Times New Roman" w:cs="Times New Roman"/>
          <w:sz w:val="28"/>
          <w:szCs w:val="28"/>
          <w:lang w:val="uk-UA"/>
        </w:rPr>
        <w:t>території.</w:t>
      </w:r>
    </w:p>
    <w:p w:rsidR="004E60AD" w:rsidRDefault="004E60AD" w:rsidP="00A53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0AD" w:rsidRDefault="004E60AD" w:rsidP="00A53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комісії:</w:t>
      </w:r>
    </w:p>
    <w:p w:rsidR="004E60AD" w:rsidRDefault="004E60AD" w:rsidP="004E60AD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53460" w:rsidRDefault="004E60AD" w:rsidP="004E60AD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Зелені насадження, що залишаються на місці на час будівництва, передаються на збереження </w:t>
      </w:r>
    </w:p>
    <w:p w:rsidR="004E60AD" w:rsidRDefault="004E60AD" w:rsidP="004E60AD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E60AD" w:rsidRDefault="00E666CE" w:rsidP="004E60AD">
      <w:pPr>
        <w:tabs>
          <w:tab w:val="left" w:pos="3420"/>
        </w:tabs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E60AD">
        <w:rPr>
          <w:rFonts w:ascii="Times New Roman" w:hAnsi="Times New Roman" w:cs="Times New Roman"/>
          <w:sz w:val="28"/>
          <w:szCs w:val="28"/>
          <w:lang w:val="uk-UA"/>
        </w:rPr>
        <w:t>(прізвище, ім'я, по батькові, посада)</w:t>
      </w:r>
    </w:p>
    <w:p w:rsidR="00E666CE" w:rsidRDefault="00E666CE" w:rsidP="004E60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0AD" w:rsidRDefault="00E666CE" w:rsidP="004E60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</w:p>
    <w:p w:rsidR="00E666CE" w:rsidRDefault="00E666CE" w:rsidP="004E60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</w:p>
    <w:p w:rsidR="00E666CE" w:rsidRPr="00E666CE" w:rsidRDefault="00E666CE" w:rsidP="00E666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66CE" w:rsidRDefault="00E666CE" w:rsidP="00E666CE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666CE" w:rsidRDefault="00E666CE" w:rsidP="00E666CE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Додаток 2 до Методики</w:t>
      </w:r>
    </w:p>
    <w:p w:rsidR="00E666CE" w:rsidRDefault="00E666CE" w:rsidP="00E666C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визначення відновної вартості </w:t>
      </w:r>
    </w:p>
    <w:p w:rsidR="00E666CE" w:rsidRDefault="00E666CE" w:rsidP="00E666C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зелених насаджень</w:t>
      </w:r>
    </w:p>
    <w:p w:rsidR="00E666CE" w:rsidRDefault="00E666CE" w:rsidP="00E666C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(пункт 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66CE" w:rsidRDefault="00E666CE" w:rsidP="00E666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6074" w:rsidRDefault="00E666CE" w:rsidP="00E666CE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Такса компенсаційної вартості утримання одного дерева (грн.)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56074" w:rsidTr="00C56074">
        <w:tc>
          <w:tcPr>
            <w:tcW w:w="3190" w:type="dxa"/>
          </w:tcPr>
          <w:p w:rsidR="00C56074" w:rsidRP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 д</w:t>
            </w: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(сантиметрів) на висоті 1,3 м від шийки кореня</w:t>
            </w:r>
          </w:p>
        </w:tc>
        <w:tc>
          <w:tcPr>
            <w:tcW w:w="3190" w:type="dxa"/>
          </w:tcPr>
          <w:p w:rsidR="00C56074" w:rsidRP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 декоративних, цінних та рідкісних порід</w:t>
            </w:r>
          </w:p>
        </w:tc>
        <w:tc>
          <w:tcPr>
            <w:tcW w:w="3191" w:type="dxa"/>
          </w:tcPr>
          <w:p w:rsidR="00C56074" w:rsidRP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</w:tr>
      <w:tr w:rsidR="00C56074" w:rsidTr="00C56074">
        <w:tc>
          <w:tcPr>
            <w:tcW w:w="3190" w:type="dxa"/>
          </w:tcPr>
          <w:p w:rsidR="00C56074" w:rsidRDefault="00C56074" w:rsidP="00C56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6074" w:rsidTr="00C56074">
        <w:tc>
          <w:tcPr>
            <w:tcW w:w="3190" w:type="dxa"/>
          </w:tcPr>
          <w:p w:rsidR="00C56074" w:rsidRP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3191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56074" w:rsidTr="00C56074">
        <w:tc>
          <w:tcPr>
            <w:tcW w:w="3190" w:type="dxa"/>
          </w:tcPr>
          <w:p w:rsidR="00C56074" w:rsidRP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3191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C56074" w:rsidTr="00C56074">
        <w:tc>
          <w:tcPr>
            <w:tcW w:w="3190" w:type="dxa"/>
          </w:tcPr>
          <w:p w:rsidR="00C56074" w:rsidRP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56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3191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10,1-14,0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3191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14,1-18,0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</w:t>
            </w:r>
          </w:p>
        </w:tc>
        <w:tc>
          <w:tcPr>
            <w:tcW w:w="3191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18,1-23,0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23,1-28,0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28,1-32,0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32,1-36,0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36.1-40,0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40,1-42,0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3950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42,1-43,0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43,1-44,0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4150</w:t>
            </w:r>
          </w:p>
        </w:tc>
      </w:tr>
      <w:tr w:rsidR="00C56074" w:rsidTr="00C56074">
        <w:tc>
          <w:tcPr>
            <w:tcW w:w="3190" w:type="dxa"/>
          </w:tcPr>
          <w:p w:rsidR="00C56074" w:rsidRPr="004443D7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44,1-45,0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4250</w:t>
            </w:r>
          </w:p>
        </w:tc>
      </w:tr>
      <w:tr w:rsidR="00C56074" w:rsidTr="00C56074">
        <w:tc>
          <w:tcPr>
            <w:tcW w:w="3190" w:type="dxa"/>
          </w:tcPr>
          <w:p w:rsidR="004443D7" w:rsidRPr="004443D7" w:rsidRDefault="004443D7" w:rsidP="0044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кожний сантиметр</w:t>
            </w:r>
          </w:p>
          <w:p w:rsidR="004443D7" w:rsidRPr="004443D7" w:rsidRDefault="004443D7" w:rsidP="00444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діаметра понад 45</w:t>
            </w:r>
          </w:p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сантиметрів</w:t>
            </w:r>
          </w:p>
        </w:tc>
        <w:tc>
          <w:tcPr>
            <w:tcW w:w="3190" w:type="dxa"/>
          </w:tcPr>
          <w:p w:rsidR="00C56074" w:rsidRDefault="004443D7" w:rsidP="0044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191" w:type="dxa"/>
          </w:tcPr>
          <w:p w:rsidR="00C56074" w:rsidRDefault="000A45AA" w:rsidP="000A45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0A45AA" w:rsidRDefault="000A45AA" w:rsidP="009A75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6B13" w:rsidRDefault="000A45AA" w:rsidP="009A75C1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Такса компенсаційної вартості утримання куща (грн.)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16B13" w:rsidTr="00F16B13">
        <w:tc>
          <w:tcPr>
            <w:tcW w:w="3190" w:type="dxa"/>
          </w:tcPr>
          <w:p w:rsidR="00F16B13" w:rsidRPr="00F16B13" w:rsidRDefault="00F16B13" w:rsidP="00F1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куща</w:t>
            </w:r>
          </w:p>
        </w:tc>
        <w:tc>
          <w:tcPr>
            <w:tcW w:w="3190" w:type="dxa"/>
          </w:tcPr>
          <w:p w:rsidR="00F16B13" w:rsidRPr="00F16B13" w:rsidRDefault="00F16B13" w:rsidP="00F1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Кущі декоративних, цінних та рідкісних порід</w:t>
            </w:r>
          </w:p>
        </w:tc>
        <w:tc>
          <w:tcPr>
            <w:tcW w:w="3191" w:type="dxa"/>
          </w:tcPr>
          <w:p w:rsidR="00F16B13" w:rsidRPr="00F16B13" w:rsidRDefault="00F16B13" w:rsidP="00F1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</w:tr>
      <w:tr w:rsidR="00F16B13" w:rsidTr="00F16B13">
        <w:tc>
          <w:tcPr>
            <w:tcW w:w="3190" w:type="dxa"/>
          </w:tcPr>
          <w:p w:rsidR="00F16B13" w:rsidRPr="00F16B13" w:rsidRDefault="00F16B13" w:rsidP="00F1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кожний дикоростучий кущ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 кожний кущ чагарнику, висадженого в огорожі та бордюрі</w:t>
            </w:r>
          </w:p>
        </w:tc>
        <w:tc>
          <w:tcPr>
            <w:tcW w:w="3190" w:type="dxa"/>
          </w:tcPr>
          <w:p w:rsidR="00F16B13" w:rsidRDefault="00F16B13" w:rsidP="00F1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6B13" w:rsidRPr="00F16B13" w:rsidRDefault="00F16B13" w:rsidP="00F1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3191" w:type="dxa"/>
          </w:tcPr>
          <w:p w:rsidR="00F16B13" w:rsidRDefault="00F16B13" w:rsidP="00F1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6B13" w:rsidRPr="00F16B13" w:rsidRDefault="00F16B13" w:rsidP="00F1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</w:tr>
    </w:tbl>
    <w:p w:rsidR="00F16B13" w:rsidRDefault="00F16B13" w:rsidP="00F16B1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</w:p>
    <w:p w:rsidR="00E837CB" w:rsidRDefault="00F16B13" w:rsidP="00F16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До дерев і кущів декоративних, цінних та рідкісних порід належать: акація, вишня, груша, горіх, каштан, черешня, явір, смерека (ялина) колюча, ялиця, псевдо тсуга, туя, сосни Веймутова, ельдарська і румелійська, дерева і </w:t>
      </w:r>
      <w:r w:rsidR="00E837CB">
        <w:rPr>
          <w:rFonts w:ascii="Times New Roman" w:hAnsi="Times New Roman" w:cs="Times New Roman"/>
          <w:sz w:val="28"/>
          <w:szCs w:val="28"/>
          <w:lang w:val="uk-UA"/>
        </w:rPr>
        <w:t xml:space="preserve">чагарники родини кипарисових, виноградових, гінгко дволопатевий, кедри усіх видів, секвоя вічнозелена, метасеквоя, катальпа, самшит, платан, дуб </w:t>
      </w:r>
      <w:r w:rsidR="00E837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пухнастий, лавр, церцис європейський, лавровишня, липа американська і повстиста, магнолія, бархат амурський, горіхоплідні, фотінія, прищеплені види і форми деревних і чагарникових рослин. Не перераховані породи дерев прирівнюються до відповідної групи за схожими ознаками. </w:t>
      </w:r>
    </w:p>
    <w:p w:rsidR="00E837CB" w:rsidRDefault="00E837CB" w:rsidP="00F16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E837CB" w:rsidP="00F16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Якщо дерево має кілька стовбурів, то в розрахунках кожен стовбур ураховується окремо, за умови, що </w:t>
      </w:r>
      <w:r w:rsidR="0072453E">
        <w:rPr>
          <w:rFonts w:ascii="Times New Roman" w:hAnsi="Times New Roman" w:cs="Times New Roman"/>
          <w:sz w:val="28"/>
          <w:szCs w:val="28"/>
          <w:lang w:val="uk-UA"/>
        </w:rPr>
        <w:t>стовбури на висоті 0,5 м розведені в просторі.</w:t>
      </w:r>
    </w:p>
    <w:p w:rsidR="0072453E" w:rsidRDefault="0072453E" w:rsidP="00F16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F16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Кущі в групах підраховуються </w:t>
      </w:r>
      <w:r w:rsidR="00E8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поштучно. Під час підрахунку кількості кущів у чагарнику, висадженому в огорожі та бордюрі, кількість кущів на кожний погонний метр у дворядній огорожі приймають рівною 5 штук і однорядній – 3 штуки.</w:t>
      </w:r>
    </w:p>
    <w:p w:rsidR="0072453E" w:rsidRDefault="0072453E" w:rsidP="00F16B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53E" w:rsidRP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P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P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P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P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P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P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6B13" w:rsidRDefault="00F16B13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72453E" w:rsidP="007245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Додаток 3 до Методики </w:t>
      </w:r>
    </w:p>
    <w:p w:rsidR="0072453E" w:rsidRDefault="0072453E" w:rsidP="0072453E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визначення відновної вартості</w:t>
      </w:r>
    </w:p>
    <w:p w:rsidR="0072453E" w:rsidRDefault="00A14A15" w:rsidP="00A14A1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зелених насаджень</w:t>
      </w:r>
    </w:p>
    <w:p w:rsidR="00A14A15" w:rsidRDefault="00A14A15" w:rsidP="00A14A1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(пункт 6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4A15" w:rsidRDefault="00A14A15" w:rsidP="00A14A15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14A15" w:rsidRDefault="00A14A15" w:rsidP="00724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453E" w:rsidRDefault="00A14A15" w:rsidP="00A14A15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52E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</w:p>
    <w:p w:rsidR="00A14A15" w:rsidRDefault="00A14A15" w:rsidP="00F452E7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якісного стану дерев, кущів,</w:t>
      </w:r>
    </w:p>
    <w:p w:rsidR="00F452E7" w:rsidRDefault="00F452E7" w:rsidP="00F452E7">
      <w:pPr>
        <w:tabs>
          <w:tab w:val="left" w:pos="15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газонів і квітників</w:t>
      </w:r>
    </w:p>
    <w:p w:rsid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52E7" w:rsidTr="00F452E7">
        <w:tc>
          <w:tcPr>
            <w:tcW w:w="4785" w:type="dxa"/>
          </w:tcPr>
          <w:p w:rsidR="00F452E7" w:rsidRDefault="00F452E7" w:rsidP="00F452E7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Якісний стан </w:t>
            </w:r>
          </w:p>
        </w:tc>
        <w:tc>
          <w:tcPr>
            <w:tcW w:w="4786" w:type="dxa"/>
          </w:tcPr>
          <w:p w:rsidR="00F452E7" w:rsidRDefault="00F452E7" w:rsidP="00F45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якісного стану (Кя)</w:t>
            </w:r>
          </w:p>
        </w:tc>
      </w:tr>
      <w:tr w:rsidR="00F452E7" w:rsidTr="00F452E7">
        <w:tc>
          <w:tcPr>
            <w:tcW w:w="4785" w:type="dxa"/>
          </w:tcPr>
          <w:p w:rsidR="00F452E7" w:rsidRDefault="00F452E7" w:rsidP="00F45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добрий</w:t>
            </w:r>
          </w:p>
        </w:tc>
        <w:tc>
          <w:tcPr>
            <w:tcW w:w="4786" w:type="dxa"/>
          </w:tcPr>
          <w:p w:rsidR="00F452E7" w:rsidRDefault="00F452E7" w:rsidP="00F45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F452E7" w:rsidTr="00F452E7">
        <w:tc>
          <w:tcPr>
            <w:tcW w:w="4785" w:type="dxa"/>
          </w:tcPr>
          <w:p w:rsidR="00F452E7" w:rsidRDefault="00F452E7" w:rsidP="00F45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4786" w:type="dxa"/>
          </w:tcPr>
          <w:p w:rsidR="00F452E7" w:rsidRDefault="00F452E7" w:rsidP="00F45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</w:tr>
      <w:tr w:rsidR="00F452E7" w:rsidTr="00F452E7">
        <w:tc>
          <w:tcPr>
            <w:tcW w:w="4785" w:type="dxa"/>
          </w:tcPr>
          <w:p w:rsidR="00F452E7" w:rsidRDefault="00F452E7" w:rsidP="00F45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незадовільний</w:t>
            </w:r>
          </w:p>
        </w:tc>
        <w:tc>
          <w:tcPr>
            <w:tcW w:w="4786" w:type="dxa"/>
          </w:tcPr>
          <w:p w:rsidR="00F452E7" w:rsidRDefault="00F452E7" w:rsidP="00F45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</w:tbl>
    <w:p w:rsid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P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P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P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P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P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P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P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52E7" w:rsidRDefault="00F452E7" w:rsidP="00F452E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 Додаток 4 до Методики </w:t>
      </w:r>
    </w:p>
    <w:p w:rsidR="00F452E7" w:rsidRDefault="00F452E7" w:rsidP="00F452E7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визначення відновної вартості</w:t>
      </w:r>
    </w:p>
    <w:p w:rsidR="00F452E7" w:rsidRDefault="00F452E7" w:rsidP="00F452E7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зелених насаджень</w:t>
      </w:r>
    </w:p>
    <w:p w:rsidR="00F452E7" w:rsidRDefault="00F452E7" w:rsidP="00F452E7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(пункт 9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52E7" w:rsidRDefault="00F452E7" w:rsidP="00F452E7">
      <w:pPr>
        <w:tabs>
          <w:tab w:val="left" w:pos="66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2E7" w:rsidRDefault="00F452E7" w:rsidP="00F452E7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</w:p>
    <w:p w:rsidR="00F452E7" w:rsidRDefault="00F452E7" w:rsidP="00F452E7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зонального розподілу території населеного пункту</w:t>
      </w:r>
    </w:p>
    <w:p w:rsidR="00F452E7" w:rsidRDefault="00F452E7" w:rsidP="00F452E7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085"/>
        <w:gridCol w:w="2025"/>
        <w:gridCol w:w="2310"/>
        <w:gridCol w:w="2151"/>
      </w:tblGrid>
      <w:tr w:rsidR="00F452E7" w:rsidTr="00F452E7">
        <w:trPr>
          <w:trHeight w:val="195"/>
        </w:trPr>
        <w:tc>
          <w:tcPr>
            <w:tcW w:w="3085" w:type="dxa"/>
            <w:vMerge w:val="restart"/>
          </w:tcPr>
          <w:p w:rsidR="00F452E7" w:rsidRPr="00F452E7" w:rsidRDefault="00F452E7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населених пунктів залежно від кількості населення, (тис. осіб)</w:t>
            </w:r>
          </w:p>
        </w:tc>
        <w:tc>
          <w:tcPr>
            <w:tcW w:w="6486" w:type="dxa"/>
            <w:gridSpan w:val="3"/>
            <w:tcBorders>
              <w:bottom w:val="single" w:sz="4" w:space="0" w:color="auto"/>
            </w:tcBorders>
          </w:tcPr>
          <w:p w:rsidR="00F452E7" w:rsidRPr="00F452E7" w:rsidRDefault="00F452E7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зонального розподілу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територій населеного пункту </w:t>
            </w:r>
            <w:r w:rsid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(Кз)</w:t>
            </w:r>
          </w:p>
        </w:tc>
      </w:tr>
      <w:tr w:rsidR="00F452E7" w:rsidTr="00F452E7">
        <w:trPr>
          <w:trHeight w:val="120"/>
        </w:trPr>
        <w:tc>
          <w:tcPr>
            <w:tcW w:w="3085" w:type="dxa"/>
            <w:vMerge/>
          </w:tcPr>
          <w:p w:rsidR="00F452E7" w:rsidRDefault="00F452E7" w:rsidP="00F45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225E3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зона містобудівної цінності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5E3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зона містобудівної цінності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</w:tcPr>
          <w:p w:rsidR="007225E3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452E7" w:rsidRDefault="007225E3" w:rsidP="007225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Периферійна</w:t>
            </w: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зона містобудівної цінності</w:t>
            </w:r>
          </w:p>
        </w:tc>
      </w:tr>
      <w:tr w:rsidR="00F452E7" w:rsidTr="00F452E7">
        <w:tc>
          <w:tcPr>
            <w:tcW w:w="3085" w:type="dxa"/>
          </w:tcPr>
          <w:p w:rsidR="00F452E7" w:rsidRPr="007225E3" w:rsidRDefault="007225E3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 1000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F452E7" w:rsidRPr="007225E3" w:rsidRDefault="007225E3" w:rsidP="007225E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</w:tr>
      <w:tr w:rsidR="00F452E7" w:rsidTr="00F452E7">
        <w:tc>
          <w:tcPr>
            <w:tcW w:w="3085" w:type="dxa"/>
          </w:tcPr>
          <w:p w:rsidR="00F452E7" w:rsidRPr="007225E3" w:rsidRDefault="007225E3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 житлових будинків, об’єктів інженерно-транспортної, соціальної інфраструктури і благоустрою 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25E3" w:rsidRPr="007225E3" w:rsidRDefault="007225E3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7225E3" w:rsidRDefault="007225E3" w:rsidP="007225E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 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225E3" w:rsidRPr="007225E3" w:rsidRDefault="007225E3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2,0 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7225E3" w:rsidRPr="007225E3" w:rsidRDefault="007225E3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7225E3" w:rsidRDefault="007225E3" w:rsidP="007225E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 </w:t>
            </w:r>
          </w:p>
        </w:tc>
      </w:tr>
      <w:tr w:rsidR="00F452E7" w:rsidTr="00F452E7">
        <w:tc>
          <w:tcPr>
            <w:tcW w:w="3085" w:type="dxa"/>
          </w:tcPr>
          <w:p w:rsidR="00F452E7" w:rsidRPr="007225E3" w:rsidRDefault="007225E3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500-1000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2,7 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452E7" w:rsidRPr="007225E3" w:rsidRDefault="007225E3" w:rsidP="00722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</w:tr>
      <w:tr w:rsidR="00F452E7" w:rsidTr="00F452E7">
        <w:tc>
          <w:tcPr>
            <w:tcW w:w="3085" w:type="dxa"/>
          </w:tcPr>
          <w:p w:rsidR="007225E3" w:rsidRPr="007225E3" w:rsidRDefault="007225E3" w:rsidP="00722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будівництва житлових будинків, </w:t>
            </w:r>
          </w:p>
          <w:p w:rsidR="007225E3" w:rsidRPr="007225E3" w:rsidRDefault="007225E3" w:rsidP="00722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об’єктів інженерно-транспортної, </w:t>
            </w:r>
          </w:p>
          <w:p w:rsidR="00F452E7" w:rsidRPr="007225E3" w:rsidRDefault="007225E3" w:rsidP="007225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соціальної інфраструктури і </w:t>
            </w:r>
            <w:r w:rsidRPr="00722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благоустрою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A541B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F452E7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CA541B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2,0 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CA541B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1,1 </w:t>
            </w:r>
          </w:p>
        </w:tc>
      </w:tr>
      <w:tr w:rsidR="00F452E7" w:rsidTr="00F452E7">
        <w:tc>
          <w:tcPr>
            <w:tcW w:w="3085" w:type="dxa"/>
          </w:tcPr>
          <w:p w:rsidR="00F452E7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250-500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F452E7" w:rsidRPr="00CA541B" w:rsidRDefault="00CA541B" w:rsidP="00CA541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2,4 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2,2 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</w:tr>
      <w:tr w:rsidR="00F452E7" w:rsidTr="00F452E7">
        <w:tc>
          <w:tcPr>
            <w:tcW w:w="3085" w:type="dxa"/>
          </w:tcPr>
          <w:p w:rsidR="00CA541B" w:rsidRPr="00CA541B" w:rsidRDefault="00CA541B" w:rsidP="00CA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будівництва житлових будинків, </w:t>
            </w:r>
          </w:p>
          <w:p w:rsidR="00CA541B" w:rsidRPr="00CA541B" w:rsidRDefault="00CA541B" w:rsidP="00CA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об’єктів інженерно-транспортної, </w:t>
            </w:r>
          </w:p>
          <w:p w:rsidR="00F452E7" w:rsidRPr="00CA541B" w:rsidRDefault="00CA541B" w:rsidP="00CA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соціальної інфраструктури і </w:t>
            </w: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благоустрою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A541B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CA541B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1,9 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CA541B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 </w:t>
            </w:r>
          </w:p>
        </w:tc>
      </w:tr>
      <w:tr w:rsidR="00F452E7" w:rsidTr="00F452E7">
        <w:tc>
          <w:tcPr>
            <w:tcW w:w="3085" w:type="dxa"/>
          </w:tcPr>
          <w:p w:rsidR="00F452E7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100-250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F452E7" w:rsidRPr="00CA541B" w:rsidRDefault="00CA541B" w:rsidP="00CA541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F452E7" w:rsidTr="00F452E7">
        <w:tc>
          <w:tcPr>
            <w:tcW w:w="3085" w:type="dxa"/>
          </w:tcPr>
          <w:p w:rsidR="00CA541B" w:rsidRPr="00CA541B" w:rsidRDefault="00CA541B" w:rsidP="00CA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будівництва житлових будинків, </w:t>
            </w:r>
          </w:p>
          <w:p w:rsidR="00CA541B" w:rsidRPr="00CA541B" w:rsidRDefault="00CA541B" w:rsidP="00CA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об’єктів інженерно-транспортної, </w:t>
            </w:r>
          </w:p>
          <w:p w:rsidR="00F452E7" w:rsidRPr="00CA541B" w:rsidRDefault="00CA541B" w:rsidP="00CA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соціальної інфраструктури і </w:t>
            </w: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благоустрою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A541B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CA541B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CA541B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CA541B" w:rsidRDefault="00CA541B" w:rsidP="00CA541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F452E7" w:rsidTr="00F452E7">
        <w:tc>
          <w:tcPr>
            <w:tcW w:w="3085" w:type="dxa"/>
          </w:tcPr>
          <w:p w:rsidR="00F452E7" w:rsidRPr="00CA541B" w:rsidRDefault="00CA541B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50-100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F452E7" w:rsidRDefault="00CA541B" w:rsidP="00CA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452E7" w:rsidRPr="00CA541B" w:rsidRDefault="00CA541B" w:rsidP="00CA5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452E7" w:rsidRPr="00CA541B" w:rsidRDefault="00CA541B" w:rsidP="00CA541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F452E7" w:rsidTr="00F452E7">
        <w:tc>
          <w:tcPr>
            <w:tcW w:w="3085" w:type="dxa"/>
          </w:tcPr>
          <w:p w:rsidR="00F452E7" w:rsidRPr="00A65CDA" w:rsidRDefault="00A65CDA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будівництва житлових будинків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об’єктів інженерно-транспортної, соціальної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інфраструктури і благоустрою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A65CDA" w:rsidRDefault="00A65CDA" w:rsidP="00F452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52E7" w:rsidRPr="00A65CDA" w:rsidRDefault="00A65CDA" w:rsidP="00A65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A65CDA" w:rsidRPr="00A65CDA" w:rsidRDefault="00A65CDA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A65CDA" w:rsidRDefault="00A65CDA" w:rsidP="00A65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A65CDA" w:rsidRPr="00A65CDA" w:rsidRDefault="00A65CDA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2E7" w:rsidRPr="00A65CDA" w:rsidRDefault="00A65CDA" w:rsidP="00A65CD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F452E7" w:rsidTr="00F452E7">
        <w:tc>
          <w:tcPr>
            <w:tcW w:w="3085" w:type="dxa"/>
          </w:tcPr>
          <w:p w:rsidR="00F452E7" w:rsidRPr="00A65CDA" w:rsidRDefault="00A65CDA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50 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F452E7" w:rsidRDefault="00A65CDA" w:rsidP="00A65CD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F452E7" w:rsidRPr="00A65CDA" w:rsidRDefault="00A65CDA" w:rsidP="00A65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F452E7" w:rsidRPr="00A65CDA" w:rsidRDefault="00A65CDA" w:rsidP="00A65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A65CDA" w:rsidTr="00F452E7">
        <w:tc>
          <w:tcPr>
            <w:tcW w:w="3085" w:type="dxa"/>
          </w:tcPr>
          <w:p w:rsidR="00A65CDA" w:rsidRPr="00A65CDA" w:rsidRDefault="00A65CDA" w:rsidP="00F452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будівництва житлових будинків, об’єктів інженерно-транспортної, соціальної інфраструктури і благоустрою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A65CDA" w:rsidRDefault="00A65CDA" w:rsidP="00A65CD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A65CDA" w:rsidRPr="00A65CDA" w:rsidRDefault="00A65CDA" w:rsidP="00A65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 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:rsidR="00A65CDA" w:rsidRPr="00A65CDA" w:rsidRDefault="00A65CDA" w:rsidP="00A65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</w:tr>
    </w:tbl>
    <w:p w:rsidR="00F452E7" w:rsidRDefault="00F452E7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F452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A65CDA" w:rsidP="00A65C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 Додаток 5 до Методики </w:t>
      </w:r>
    </w:p>
    <w:p w:rsidR="00A65CDA" w:rsidRDefault="00A65CDA" w:rsidP="00A65CDA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визначення відновної вартості</w:t>
      </w:r>
    </w:p>
    <w:p w:rsidR="00A65CDA" w:rsidRDefault="00A65CDA" w:rsidP="00A65CDA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зелених насаджень</w:t>
      </w:r>
    </w:p>
    <w:p w:rsidR="00A65CDA" w:rsidRDefault="00A65CDA" w:rsidP="00A65CDA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(пункт 10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5CDA" w:rsidRDefault="00A65CDA" w:rsidP="00A65CDA">
      <w:pPr>
        <w:tabs>
          <w:tab w:val="left" w:pos="66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41A2A" w:rsidRDefault="00D41A2A" w:rsidP="00D41A2A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ЗОНИ</w:t>
      </w:r>
    </w:p>
    <w:p w:rsidR="00D41A2A" w:rsidRDefault="00D41A2A" w:rsidP="00D41A2A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містобудівної цінності територій</w:t>
      </w:r>
    </w:p>
    <w:p w:rsidR="00D41A2A" w:rsidRDefault="00D41A2A" w:rsidP="00D41A2A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</w:t>
      </w:r>
    </w:p>
    <w:p w:rsidR="00D41A2A" w:rsidRDefault="00D41A2A" w:rsidP="00D41A2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943"/>
        <w:gridCol w:w="2268"/>
        <w:gridCol w:w="2268"/>
        <w:gridCol w:w="2092"/>
      </w:tblGrid>
      <w:tr w:rsidR="00D41A2A" w:rsidTr="00D41A2A">
        <w:trPr>
          <w:trHeight w:val="225"/>
        </w:trPr>
        <w:tc>
          <w:tcPr>
            <w:tcW w:w="2943" w:type="dxa"/>
            <w:vMerge w:val="restart"/>
          </w:tcPr>
          <w:p w:rsidR="00D41A2A" w:rsidRPr="00D41A2A" w:rsidRDefault="00D41A2A" w:rsidP="00D4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населених пунктів залежно від кількості населення (тис. осіб)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D41A2A" w:rsidRPr="00D41A2A" w:rsidRDefault="00D41A2A" w:rsidP="00D4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 містобудівної цінності</w:t>
            </w:r>
          </w:p>
        </w:tc>
      </w:tr>
      <w:tr w:rsidR="00D41A2A" w:rsidTr="00D41A2A">
        <w:trPr>
          <w:trHeight w:val="105"/>
        </w:trPr>
        <w:tc>
          <w:tcPr>
            <w:tcW w:w="2943" w:type="dxa"/>
            <w:vMerge/>
          </w:tcPr>
          <w:p w:rsidR="00D41A2A" w:rsidRDefault="00D41A2A" w:rsidP="00D41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A" w:rsidRDefault="00D41A2A" w:rsidP="00D41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41A2A" w:rsidRPr="00D41A2A" w:rsidRDefault="00D41A2A" w:rsidP="00D4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2A" w:rsidRDefault="00D41A2A" w:rsidP="00D41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41A2A" w:rsidRPr="00D41A2A" w:rsidRDefault="00D41A2A" w:rsidP="00D4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зона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A2A" w:rsidRDefault="00D41A2A" w:rsidP="00D41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41A2A" w:rsidRPr="00D41A2A" w:rsidRDefault="00D41A2A" w:rsidP="00D4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Периферійна зона</w:t>
            </w:r>
          </w:p>
        </w:tc>
      </w:tr>
      <w:tr w:rsidR="00D41A2A" w:rsidTr="00D41A2A">
        <w:tc>
          <w:tcPr>
            <w:tcW w:w="2943" w:type="dxa"/>
          </w:tcPr>
          <w:p w:rsidR="00D41A2A" w:rsidRPr="00D41A2A" w:rsidRDefault="00D41A2A" w:rsidP="00D41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 1000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41A2A" w:rsidRPr="00D41A2A" w:rsidRDefault="00D41A2A" w:rsidP="00D4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5,5 км від міського центру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A2A" w:rsidRPr="00D41A2A" w:rsidRDefault="00092CF3" w:rsidP="00092C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D41A2A"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41A2A"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D41A2A" w:rsidRPr="00D41A2A" w:rsidRDefault="00D41A2A" w:rsidP="00D41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7,5</w:t>
            </w:r>
            <w:r w:rsid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</w:tr>
      <w:tr w:rsidR="00D41A2A" w:rsidTr="00D41A2A">
        <w:tc>
          <w:tcPr>
            <w:tcW w:w="2943" w:type="dxa"/>
          </w:tcPr>
          <w:p w:rsidR="00D41A2A" w:rsidRPr="00D41A2A" w:rsidRDefault="00D41A2A" w:rsidP="00D41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500-1000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A2A" w:rsidRDefault="00D41A2A" w:rsidP="00092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</w:t>
            </w:r>
            <w:r w:rsidRPr="00D41A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 3 км від міського центру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1A2A" w:rsidRPr="00092CF3" w:rsidRDefault="00092CF3" w:rsidP="00092C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3,0 - 5,5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1A2A" w:rsidRPr="00092CF3" w:rsidRDefault="00092CF3" w:rsidP="00092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5,5 км</w:t>
            </w:r>
          </w:p>
        </w:tc>
      </w:tr>
      <w:tr w:rsidR="00D41A2A" w:rsidTr="00D41A2A">
        <w:tc>
          <w:tcPr>
            <w:tcW w:w="2943" w:type="dxa"/>
          </w:tcPr>
          <w:p w:rsidR="00D41A2A" w:rsidRPr="00D41A2A" w:rsidRDefault="00D41A2A" w:rsidP="00D41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250-500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A2A" w:rsidRDefault="00092CF3" w:rsidP="00092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2,5</w:t>
            </w:r>
            <w:r w:rsidRPr="00D41A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км від міського центру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1A2A" w:rsidRDefault="00092CF3" w:rsidP="00092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2,5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1A2A" w:rsidRDefault="00092CF3" w:rsidP="00092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 км</w:t>
            </w:r>
          </w:p>
        </w:tc>
      </w:tr>
      <w:tr w:rsidR="00D41A2A" w:rsidTr="00D41A2A">
        <w:tc>
          <w:tcPr>
            <w:tcW w:w="2943" w:type="dxa"/>
          </w:tcPr>
          <w:p w:rsidR="00D41A2A" w:rsidRPr="00D41A2A" w:rsidRDefault="00D41A2A" w:rsidP="00D41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100-250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A2A" w:rsidRDefault="00092CF3" w:rsidP="00092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 1,5</w:t>
            </w:r>
            <w:r w:rsidRPr="00D41A2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км від міського центру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1A2A" w:rsidRDefault="00092CF3" w:rsidP="00092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1,5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1A2A" w:rsidRDefault="00092CF3" w:rsidP="00092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 км</w:t>
            </w:r>
          </w:p>
        </w:tc>
      </w:tr>
      <w:tr w:rsidR="00D41A2A" w:rsidTr="00D41A2A">
        <w:tc>
          <w:tcPr>
            <w:tcW w:w="2943" w:type="dxa"/>
          </w:tcPr>
          <w:p w:rsidR="00D41A2A" w:rsidRPr="00D41A2A" w:rsidRDefault="00D41A2A" w:rsidP="00D41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A2A" w:rsidRDefault="00092CF3" w:rsidP="00092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1A2A" w:rsidRPr="00092CF3" w:rsidRDefault="00092CF3" w:rsidP="00092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 км від міського центру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1A2A" w:rsidRDefault="00092CF3" w:rsidP="00092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</w:tr>
      <w:tr w:rsidR="00D41A2A" w:rsidTr="00D41A2A">
        <w:tc>
          <w:tcPr>
            <w:tcW w:w="2943" w:type="dxa"/>
          </w:tcPr>
          <w:p w:rsidR="00D41A2A" w:rsidRPr="00D41A2A" w:rsidRDefault="00D41A2A" w:rsidP="00D41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41A2A" w:rsidRDefault="00092CF3" w:rsidP="00092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1A2A" w:rsidRDefault="00092CF3" w:rsidP="00092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центру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41A2A" w:rsidRDefault="00092CF3" w:rsidP="00092C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92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</w:p>
        </w:tc>
      </w:tr>
    </w:tbl>
    <w:p w:rsidR="00092CF3" w:rsidRDefault="00092CF3" w:rsidP="00D41A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P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P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P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P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P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P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Default="00092CF3" w:rsidP="00092C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CDA" w:rsidRDefault="00092CF3" w:rsidP="00092CF3">
      <w:p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92CF3" w:rsidRDefault="00092CF3" w:rsidP="00092CF3">
      <w:pPr>
        <w:tabs>
          <w:tab w:val="left" w:pos="42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2CF3" w:rsidRDefault="00092CF3" w:rsidP="00092C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Додаток 6 до Методики </w:t>
      </w:r>
    </w:p>
    <w:p w:rsidR="00092CF3" w:rsidRDefault="00092CF3" w:rsidP="00092CF3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визначення відновної вартості</w:t>
      </w:r>
    </w:p>
    <w:p w:rsidR="00092CF3" w:rsidRDefault="00092CF3" w:rsidP="00092CF3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зелених насаджень</w:t>
      </w:r>
    </w:p>
    <w:p w:rsidR="00092CF3" w:rsidRDefault="00092CF3" w:rsidP="00092CF3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(пункт 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47E96" w:rsidRDefault="00447E96" w:rsidP="00092CF3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7E96" w:rsidRDefault="00447E96" w:rsidP="00447E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7E96" w:rsidRDefault="00447E96" w:rsidP="00447E96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КОЕФІЦІЄНТ</w:t>
      </w:r>
    </w:p>
    <w:p w:rsidR="00447E96" w:rsidRDefault="00447E96" w:rsidP="00447E96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функціональної належності газонів</w:t>
      </w:r>
    </w:p>
    <w:p w:rsidR="00447E96" w:rsidRDefault="00447E96" w:rsidP="00447E9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47E96" w:rsidTr="00447E96">
        <w:tc>
          <w:tcPr>
            <w:tcW w:w="4785" w:type="dxa"/>
          </w:tcPr>
          <w:p w:rsidR="00447E96" w:rsidRDefault="00447E96" w:rsidP="00447E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Функціональна належність газонів</w:t>
            </w:r>
          </w:p>
        </w:tc>
        <w:tc>
          <w:tcPr>
            <w:tcW w:w="4786" w:type="dxa"/>
          </w:tcPr>
          <w:p w:rsidR="00447E96" w:rsidRDefault="00447E96" w:rsidP="00447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функціональної належності газонів (Кф)</w:t>
            </w:r>
          </w:p>
        </w:tc>
      </w:tr>
      <w:tr w:rsidR="00447E96" w:rsidTr="00447E96">
        <w:tc>
          <w:tcPr>
            <w:tcW w:w="4785" w:type="dxa"/>
          </w:tcPr>
          <w:p w:rsidR="00447E96" w:rsidRDefault="00447E96" w:rsidP="00447E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Партерні газони</w:t>
            </w:r>
          </w:p>
        </w:tc>
        <w:tc>
          <w:tcPr>
            <w:tcW w:w="4786" w:type="dxa"/>
          </w:tcPr>
          <w:p w:rsidR="00447E96" w:rsidRDefault="00447E96" w:rsidP="00447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</w:t>
            </w:r>
          </w:p>
        </w:tc>
      </w:tr>
      <w:tr w:rsidR="00447E96" w:rsidTr="00447E96">
        <w:tc>
          <w:tcPr>
            <w:tcW w:w="4785" w:type="dxa"/>
          </w:tcPr>
          <w:p w:rsidR="00447E96" w:rsidRDefault="00447E96" w:rsidP="00447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Газони звичайні (садово-паркові та спеціального призначення)</w:t>
            </w:r>
          </w:p>
        </w:tc>
        <w:tc>
          <w:tcPr>
            <w:tcW w:w="4786" w:type="dxa"/>
          </w:tcPr>
          <w:p w:rsidR="00447E96" w:rsidRDefault="00447E96" w:rsidP="00447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447E96" w:rsidTr="00447E96">
        <w:tc>
          <w:tcPr>
            <w:tcW w:w="4785" w:type="dxa"/>
          </w:tcPr>
          <w:p w:rsidR="00447E96" w:rsidRDefault="00447E96" w:rsidP="00447E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Лучні газони</w:t>
            </w:r>
          </w:p>
        </w:tc>
        <w:tc>
          <w:tcPr>
            <w:tcW w:w="4786" w:type="dxa"/>
          </w:tcPr>
          <w:p w:rsidR="00447E96" w:rsidRDefault="00447E96" w:rsidP="00447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</w:tr>
    </w:tbl>
    <w:p w:rsidR="00447E96" w:rsidRPr="00447E96" w:rsidRDefault="00447E96" w:rsidP="00447E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7E96" w:rsidRPr="00447E96" w:rsidSect="00AE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34" w:rsidRDefault="00AB6B34" w:rsidP="00E666CE">
      <w:pPr>
        <w:spacing w:after="0" w:line="240" w:lineRule="auto"/>
      </w:pPr>
      <w:r>
        <w:separator/>
      </w:r>
    </w:p>
  </w:endnote>
  <w:endnote w:type="continuationSeparator" w:id="1">
    <w:p w:rsidR="00AB6B34" w:rsidRDefault="00AB6B34" w:rsidP="00E6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34" w:rsidRDefault="00AB6B34" w:rsidP="00E666CE">
      <w:pPr>
        <w:spacing w:after="0" w:line="240" w:lineRule="auto"/>
      </w:pPr>
      <w:r>
        <w:separator/>
      </w:r>
    </w:p>
  </w:footnote>
  <w:footnote w:type="continuationSeparator" w:id="1">
    <w:p w:rsidR="00AB6B34" w:rsidRDefault="00AB6B34" w:rsidP="00E6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D57"/>
    <w:multiLevelType w:val="hybridMultilevel"/>
    <w:tmpl w:val="6E5E9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57B15"/>
    <w:multiLevelType w:val="hybridMultilevel"/>
    <w:tmpl w:val="74AC4CA4"/>
    <w:lvl w:ilvl="0" w:tplc="A504F22E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226374CE"/>
    <w:multiLevelType w:val="hybridMultilevel"/>
    <w:tmpl w:val="C9A0BA42"/>
    <w:lvl w:ilvl="0" w:tplc="FA02A822">
      <w:start w:val="1"/>
      <w:numFmt w:val="upperRoman"/>
      <w:lvlText w:val="%1."/>
      <w:lvlJc w:val="left"/>
      <w:pPr>
        <w:ind w:left="4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3">
    <w:nsid w:val="5E63469C"/>
    <w:multiLevelType w:val="hybridMultilevel"/>
    <w:tmpl w:val="EDDCD1E8"/>
    <w:lvl w:ilvl="0" w:tplc="7F36A372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52B"/>
    <w:rsid w:val="0002364E"/>
    <w:rsid w:val="00092CF3"/>
    <w:rsid w:val="000A45AA"/>
    <w:rsid w:val="00115789"/>
    <w:rsid w:val="00120C6D"/>
    <w:rsid w:val="00144F14"/>
    <w:rsid w:val="0018390A"/>
    <w:rsid w:val="001932DC"/>
    <w:rsid w:val="001A413F"/>
    <w:rsid w:val="001E37AC"/>
    <w:rsid w:val="00212FF3"/>
    <w:rsid w:val="00231618"/>
    <w:rsid w:val="00252AB3"/>
    <w:rsid w:val="002666B9"/>
    <w:rsid w:val="002669F7"/>
    <w:rsid w:val="002C5FE9"/>
    <w:rsid w:val="002F6874"/>
    <w:rsid w:val="00391328"/>
    <w:rsid w:val="003D43D4"/>
    <w:rsid w:val="003E001F"/>
    <w:rsid w:val="003F7F30"/>
    <w:rsid w:val="004427E2"/>
    <w:rsid w:val="004443D7"/>
    <w:rsid w:val="00447E96"/>
    <w:rsid w:val="004E60AD"/>
    <w:rsid w:val="00516FBB"/>
    <w:rsid w:val="005B09BC"/>
    <w:rsid w:val="005D5D10"/>
    <w:rsid w:val="00695BA6"/>
    <w:rsid w:val="006A0A8F"/>
    <w:rsid w:val="006B3DA2"/>
    <w:rsid w:val="007224FF"/>
    <w:rsid w:val="007225E3"/>
    <w:rsid w:val="0072453E"/>
    <w:rsid w:val="00725F8B"/>
    <w:rsid w:val="00790A4C"/>
    <w:rsid w:val="007E5869"/>
    <w:rsid w:val="0089706F"/>
    <w:rsid w:val="009070EE"/>
    <w:rsid w:val="00941F10"/>
    <w:rsid w:val="00944A29"/>
    <w:rsid w:val="009528B9"/>
    <w:rsid w:val="009A75C1"/>
    <w:rsid w:val="00A14A15"/>
    <w:rsid w:val="00A3233E"/>
    <w:rsid w:val="00A53460"/>
    <w:rsid w:val="00A65CDA"/>
    <w:rsid w:val="00A662C6"/>
    <w:rsid w:val="00A91DC1"/>
    <w:rsid w:val="00AA6518"/>
    <w:rsid w:val="00AB6B34"/>
    <w:rsid w:val="00AE7F5E"/>
    <w:rsid w:val="00B37660"/>
    <w:rsid w:val="00B64AE9"/>
    <w:rsid w:val="00BA5D0B"/>
    <w:rsid w:val="00C01EA3"/>
    <w:rsid w:val="00C2652B"/>
    <w:rsid w:val="00C52000"/>
    <w:rsid w:val="00C52D00"/>
    <w:rsid w:val="00C56074"/>
    <w:rsid w:val="00CA541B"/>
    <w:rsid w:val="00D0408B"/>
    <w:rsid w:val="00D41A2A"/>
    <w:rsid w:val="00D5313E"/>
    <w:rsid w:val="00DD598F"/>
    <w:rsid w:val="00DE2617"/>
    <w:rsid w:val="00DF2F44"/>
    <w:rsid w:val="00E01539"/>
    <w:rsid w:val="00E666CE"/>
    <w:rsid w:val="00E837CB"/>
    <w:rsid w:val="00F16B13"/>
    <w:rsid w:val="00F452E7"/>
    <w:rsid w:val="00F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39"/>
    <w:pPr>
      <w:ind w:left="720"/>
      <w:contextualSpacing/>
    </w:pPr>
  </w:style>
  <w:style w:type="table" w:styleId="a4">
    <w:name w:val="Table Grid"/>
    <w:basedOn w:val="a1"/>
    <w:uiPriority w:val="59"/>
    <w:rsid w:val="007E5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6CE"/>
  </w:style>
  <w:style w:type="paragraph" w:styleId="a7">
    <w:name w:val="footer"/>
    <w:basedOn w:val="a"/>
    <w:link w:val="a8"/>
    <w:uiPriority w:val="99"/>
    <w:semiHidden/>
    <w:unhideWhenUsed/>
    <w:rsid w:val="00E6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622D-9B10-44F0-BCB0-A5F46D75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2014-10-28T09:30:00Z</dcterms:created>
  <dcterms:modified xsi:type="dcterms:W3CDTF">2014-10-31T14:05:00Z</dcterms:modified>
</cp:coreProperties>
</file>